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E1B9" w14:textId="619961EC" w:rsidR="00E203C2" w:rsidRDefault="00E203C2" w:rsidP="00E203C2">
      <w:r>
        <w:rPr>
          <w:noProof/>
          <w:lang w:eastAsia="en-GB" w:bidi="ar-SA"/>
        </w:rPr>
        <w:drawing>
          <wp:inline distT="0" distB="0" distL="0" distR="0" wp14:anchorId="52CE1120" wp14:editId="544E97C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50A5572" w14:textId="77777777" w:rsidR="00E203C2" w:rsidRPr="00F05CAE" w:rsidRDefault="00E203C2" w:rsidP="00E203C2">
      <w:bookmarkStart w:id="0" w:name="_GoBack"/>
    </w:p>
    <w:p w14:paraId="787CA4B7" w14:textId="6D49A2D5" w:rsidR="00CA641D" w:rsidRPr="00F05CAE" w:rsidRDefault="00F05CAE" w:rsidP="00CA641D">
      <w:pPr>
        <w:rPr>
          <w:b/>
          <w:sz w:val="28"/>
          <w:szCs w:val="28"/>
        </w:rPr>
      </w:pPr>
      <w:r w:rsidRPr="00F05CAE">
        <w:rPr>
          <w:b/>
          <w:sz w:val="28"/>
          <w:szCs w:val="28"/>
        </w:rPr>
        <w:t>30 November 2021</w:t>
      </w:r>
    </w:p>
    <w:p w14:paraId="60C80A6C" w14:textId="2EA50668" w:rsidR="00CA641D" w:rsidRPr="00F05CAE" w:rsidRDefault="00F05CAE" w:rsidP="00CA641D">
      <w:pPr>
        <w:rPr>
          <w:b/>
          <w:sz w:val="28"/>
          <w:szCs w:val="28"/>
        </w:rPr>
      </w:pPr>
      <w:r w:rsidRPr="00F05CAE">
        <w:rPr>
          <w:b/>
          <w:sz w:val="28"/>
          <w:szCs w:val="28"/>
        </w:rPr>
        <w:t>181-21</w:t>
      </w:r>
    </w:p>
    <w:bookmarkEnd w:id="0"/>
    <w:p w14:paraId="7544BA81" w14:textId="77777777" w:rsidR="0057615C" w:rsidRPr="0057615C" w:rsidRDefault="0057615C" w:rsidP="00690206">
      <w:pPr>
        <w:pStyle w:val="FSTitle"/>
        <w:rPr>
          <w:b/>
          <w:sz w:val="22"/>
        </w:rPr>
      </w:pPr>
    </w:p>
    <w:p w14:paraId="59E21B44" w14:textId="012F9C1A" w:rsidR="00BA24E2" w:rsidRDefault="00092CDA" w:rsidP="004833B2">
      <w:pPr>
        <w:pStyle w:val="FSTitle"/>
        <w:rPr>
          <w:b/>
        </w:rPr>
      </w:pPr>
      <w:r w:rsidRPr="005B7A73">
        <w:rPr>
          <w:b/>
        </w:rPr>
        <w:t>S</w:t>
      </w:r>
      <w:r w:rsidR="00B12F1E" w:rsidRPr="005B7A73">
        <w:rPr>
          <w:b/>
        </w:rPr>
        <w:t>upporting document</w:t>
      </w:r>
      <w:r w:rsidRPr="005B7A73">
        <w:rPr>
          <w:b/>
        </w:rPr>
        <w:t xml:space="preserve"> </w:t>
      </w:r>
      <w:r w:rsidR="004833B2" w:rsidRPr="004833B2">
        <w:rPr>
          <w:b/>
        </w:rPr>
        <w:t>1</w:t>
      </w:r>
    </w:p>
    <w:p w14:paraId="1A844706" w14:textId="77777777" w:rsidR="004833B2" w:rsidRDefault="004833B2" w:rsidP="004833B2">
      <w:pPr>
        <w:pStyle w:val="FSTitle"/>
      </w:pPr>
    </w:p>
    <w:p w14:paraId="0785EC3A" w14:textId="02041761" w:rsidR="00E203C2" w:rsidRDefault="004833B2" w:rsidP="00D2736B">
      <w:pPr>
        <w:rPr>
          <w:rFonts w:cs="Tahoma"/>
          <w:bCs/>
          <w:sz w:val="32"/>
        </w:rPr>
      </w:pPr>
      <w:r w:rsidRPr="004833B2">
        <w:rPr>
          <w:rFonts w:cs="Tahoma"/>
          <w:bCs/>
          <w:sz w:val="32"/>
        </w:rPr>
        <w:t>Risk and technical ass</w:t>
      </w:r>
      <w:r>
        <w:rPr>
          <w:rFonts w:cs="Tahoma"/>
          <w:bCs/>
          <w:sz w:val="32"/>
        </w:rPr>
        <w:t>essment report – Application A12</w:t>
      </w:r>
      <w:r w:rsidRPr="004833B2">
        <w:rPr>
          <w:rFonts w:cs="Tahoma"/>
          <w:bCs/>
          <w:sz w:val="32"/>
        </w:rPr>
        <w:t>31</w:t>
      </w:r>
    </w:p>
    <w:p w14:paraId="7A18CCEA" w14:textId="697A5B24" w:rsidR="00E203C2" w:rsidRDefault="008D3BA0" w:rsidP="00D2736B">
      <w:pPr>
        <w:pBdr>
          <w:bottom w:val="single" w:sz="12" w:space="1" w:color="auto"/>
        </w:pBdr>
        <w:rPr>
          <w:rFonts w:cs="Tahoma"/>
          <w:bCs/>
          <w:sz w:val="32"/>
        </w:rPr>
      </w:pPr>
      <w:r>
        <w:rPr>
          <w:rFonts w:cs="Tahoma"/>
          <w:bCs/>
          <w:sz w:val="32"/>
        </w:rPr>
        <w:t xml:space="preserve">Maltogenic alpha </w:t>
      </w:r>
      <w:r w:rsidR="004833B2" w:rsidRPr="004833B2">
        <w:rPr>
          <w:rFonts w:cs="Tahoma"/>
          <w:bCs/>
          <w:sz w:val="32"/>
        </w:rPr>
        <w:t xml:space="preserve">amylase from GM </w:t>
      </w:r>
      <w:r w:rsidR="004833B2" w:rsidRPr="004833B2">
        <w:rPr>
          <w:rFonts w:cs="Tahoma"/>
          <w:bCs/>
          <w:i/>
          <w:sz w:val="32"/>
        </w:rPr>
        <w:t>Escherichia coli</w:t>
      </w:r>
      <w:r w:rsidR="004833B2" w:rsidRPr="004833B2">
        <w:rPr>
          <w:rFonts w:cs="Tahoma"/>
          <w:bCs/>
          <w:sz w:val="32"/>
        </w:rPr>
        <w:t xml:space="preserve"> as a processing aid (enzyme)</w:t>
      </w:r>
    </w:p>
    <w:p w14:paraId="23392592" w14:textId="77777777" w:rsidR="004833B2" w:rsidRPr="004833B2" w:rsidRDefault="004833B2" w:rsidP="004833B2">
      <w:pPr>
        <w:pBdr>
          <w:bottom w:val="single" w:sz="12" w:space="1" w:color="auto"/>
        </w:pBdr>
        <w:spacing w:line="280" w:lineRule="exact"/>
        <w:rPr>
          <w:rFonts w:cs="Arial"/>
          <w:bCs/>
        </w:rPr>
      </w:pPr>
    </w:p>
    <w:p w14:paraId="247A3920" w14:textId="77777777" w:rsidR="00E203C2" w:rsidRPr="00B37BF0" w:rsidRDefault="00E203C2" w:rsidP="00E203C2"/>
    <w:p w14:paraId="7FEE4DDF" w14:textId="77777777" w:rsidR="00092CDA" w:rsidRPr="00092CDA" w:rsidRDefault="00092CDA" w:rsidP="00352CF2">
      <w:pPr>
        <w:pStyle w:val="Heading1"/>
        <w:spacing w:before="0"/>
      </w:pPr>
      <w:bookmarkStart w:id="1" w:name="_Toc286391001"/>
      <w:bookmarkStart w:id="2" w:name="_Toc300933414"/>
      <w:bookmarkStart w:id="3" w:name="_Toc85204753"/>
      <w:bookmarkStart w:id="4" w:name="_Toc85211315"/>
      <w:bookmarkStart w:id="5" w:name="_Toc87259290"/>
      <w:r w:rsidRPr="00092CDA">
        <w:t xml:space="preserve">Executive </w:t>
      </w:r>
      <w:r w:rsidR="00B12F1E">
        <w:t>s</w:t>
      </w:r>
      <w:r w:rsidRPr="00092CDA">
        <w:t>ummary</w:t>
      </w:r>
      <w:bookmarkEnd w:id="1"/>
      <w:bookmarkEnd w:id="2"/>
      <w:bookmarkEnd w:id="3"/>
      <w:bookmarkEnd w:id="4"/>
      <w:bookmarkEnd w:id="5"/>
    </w:p>
    <w:p w14:paraId="491EC25E" w14:textId="51C15EC7" w:rsidR="00D2736B" w:rsidRDefault="00D2736B" w:rsidP="00D2736B">
      <w:r>
        <w:t>The purpose of the application is to amend Schedule 18 – Processing Aids of the Australia New Zealand Food Standards Code (the Code) to incl</w:t>
      </w:r>
      <w:r w:rsidR="008D3BA0">
        <w:t xml:space="preserve">ude the enzyme maltogenic alpha </w:t>
      </w:r>
      <w:r>
        <w:t xml:space="preserve">amylase (EC 3.2.1.133), </w:t>
      </w:r>
      <w:r w:rsidR="00874381">
        <w:t xml:space="preserve">sourced </w:t>
      </w:r>
      <w:r>
        <w:t xml:space="preserve">from a genetically modified (GM) strain of </w:t>
      </w:r>
      <w:r w:rsidRPr="00D2736B">
        <w:rPr>
          <w:i/>
        </w:rPr>
        <w:t>Escherichia coli</w:t>
      </w:r>
      <w:r w:rsidR="00FF02E3">
        <w:rPr>
          <w:i/>
        </w:rPr>
        <w:t xml:space="preserve"> (E. coli </w:t>
      </w:r>
      <w:r w:rsidR="00FF02E3">
        <w:t>BLASC</w:t>
      </w:r>
      <w:r w:rsidR="00FF02E3">
        <w:rPr>
          <w:i/>
        </w:rPr>
        <w:t>)</w:t>
      </w:r>
      <w:r>
        <w:t>. This production organis</w:t>
      </w:r>
      <w:r w:rsidR="008D3BA0">
        <w:t xml:space="preserve">m contains the maltogenic alpha </w:t>
      </w:r>
      <w:r>
        <w:t xml:space="preserve">amylase gene from </w:t>
      </w:r>
      <w:r w:rsidRPr="00D2736B">
        <w:rPr>
          <w:i/>
        </w:rPr>
        <w:t>Geobacillus stearothermophilus</w:t>
      </w:r>
      <w:r>
        <w:t>. Maltogenic alpha</w:t>
      </w:r>
      <w:r w:rsidR="005F4318">
        <w:t xml:space="preserve"> </w:t>
      </w:r>
      <w:r>
        <w:t xml:space="preserve">amylase is proposed as a processing aid </w:t>
      </w:r>
      <w:r w:rsidRPr="00D2736B">
        <w:t>in baking, brewing and starch processing.</w:t>
      </w:r>
      <w:r w:rsidR="00C52F87">
        <w:t xml:space="preserve"> </w:t>
      </w:r>
    </w:p>
    <w:p w14:paraId="3C137693" w14:textId="77777777" w:rsidR="00D2736B" w:rsidRDefault="00D2736B" w:rsidP="00D2736B"/>
    <w:p w14:paraId="51B8CADB" w14:textId="629C01A5" w:rsidR="00D2736B" w:rsidRDefault="00D2736B" w:rsidP="00D2736B">
      <w:r>
        <w:t xml:space="preserve">The </w:t>
      </w:r>
      <w:r w:rsidR="005F4318">
        <w:t xml:space="preserve">available </w:t>
      </w:r>
      <w:r>
        <w:t>evidence provides ade</w:t>
      </w:r>
      <w:r w:rsidR="00C40E46">
        <w:t xml:space="preserve">quate assurance that the proposed use of this enzyme </w:t>
      </w:r>
      <w:r>
        <w:t>is technologically justified and effective in achieving its stated purpose. The enzyme meets international purity specific</w:t>
      </w:r>
      <w:r w:rsidR="005F4318">
        <w:t>ations</w:t>
      </w:r>
      <w:r w:rsidR="0098490F">
        <w:t xml:space="preserve"> and has already</w:t>
      </w:r>
      <w:r>
        <w:t xml:space="preserve"> been </w:t>
      </w:r>
      <w:r w:rsidR="00146D91">
        <w:t>approved for use by the European Food Safety Authority (EFSA).</w:t>
      </w:r>
      <w:r>
        <w:t xml:space="preserve"> </w:t>
      </w:r>
    </w:p>
    <w:p w14:paraId="394B0B27" w14:textId="77777777" w:rsidR="00D2736B" w:rsidRDefault="00D2736B" w:rsidP="00D2736B"/>
    <w:p w14:paraId="75D3228F" w14:textId="09D3251B" w:rsidR="00901F69" w:rsidRDefault="00F667EB" w:rsidP="00901F69">
      <w:r>
        <w:t xml:space="preserve">No public health and safety concerns were identified in the assessment of </w:t>
      </w:r>
      <w:r w:rsidR="00C94C71">
        <w:t xml:space="preserve">this </w:t>
      </w:r>
      <w:r>
        <w:t>maltogenic alpha</w:t>
      </w:r>
      <w:r w:rsidR="002047F0">
        <w:t xml:space="preserve"> </w:t>
      </w:r>
      <w:r>
        <w:t xml:space="preserve">amylase produced from a GM strain of </w:t>
      </w:r>
      <w:r w:rsidRPr="00560323">
        <w:rPr>
          <w:i/>
        </w:rPr>
        <w:t>E.</w:t>
      </w:r>
      <w:r w:rsidR="00B656B8">
        <w:rPr>
          <w:i/>
        </w:rPr>
        <w:t> </w:t>
      </w:r>
      <w:r w:rsidRPr="00560323">
        <w:rPr>
          <w:i/>
        </w:rPr>
        <w:t>coli</w:t>
      </w:r>
      <w:r>
        <w:rPr>
          <w:i/>
        </w:rPr>
        <w:t xml:space="preserve"> </w:t>
      </w:r>
      <w:r>
        <w:t>und</w:t>
      </w:r>
      <w:r w:rsidR="002638FC">
        <w:t>er the proposed use conditions.</w:t>
      </w:r>
      <w:r w:rsidR="00901F69">
        <w:t xml:space="preserve"> </w:t>
      </w:r>
      <w:r w:rsidR="00901F69" w:rsidRPr="00560323">
        <w:t xml:space="preserve">The </w:t>
      </w:r>
      <w:r w:rsidR="00901F69" w:rsidRPr="00004136">
        <w:rPr>
          <w:i/>
        </w:rPr>
        <w:t>E. coli</w:t>
      </w:r>
      <w:r w:rsidR="00901F69">
        <w:t xml:space="preserve"> </w:t>
      </w:r>
      <w:r w:rsidR="00901F69" w:rsidRPr="00560323">
        <w:t xml:space="preserve">host is neither pathogenic nor toxigenic and analysis of the </w:t>
      </w:r>
      <w:r w:rsidR="00901F69" w:rsidRPr="00560323">
        <w:lastRenderedPageBreak/>
        <w:t>GM production</w:t>
      </w:r>
      <w:r w:rsidR="00901F69">
        <w:t xml:space="preserve"> </w:t>
      </w:r>
      <w:r w:rsidR="00901F69" w:rsidRPr="00560323">
        <w:t>strain</w:t>
      </w:r>
      <w:r w:rsidR="00901F69">
        <w:t xml:space="preserve"> </w:t>
      </w:r>
      <w:r w:rsidR="000278C2">
        <w:t>(</w:t>
      </w:r>
      <w:r w:rsidR="000278C2">
        <w:rPr>
          <w:i/>
        </w:rPr>
        <w:t>E.</w:t>
      </w:r>
      <w:r w:rsidR="003A4323">
        <w:rPr>
          <w:i/>
        </w:rPr>
        <w:t> </w:t>
      </w:r>
      <w:r w:rsidR="000278C2">
        <w:rPr>
          <w:i/>
        </w:rPr>
        <w:t xml:space="preserve">coli </w:t>
      </w:r>
      <w:r w:rsidR="000278C2">
        <w:t>BLASC)</w:t>
      </w:r>
      <w:r w:rsidR="000278C2" w:rsidRPr="00560323">
        <w:t xml:space="preserve"> </w:t>
      </w:r>
      <w:r w:rsidR="00901F69" w:rsidRPr="00560323">
        <w:t xml:space="preserve">confirmed </w:t>
      </w:r>
      <w:r w:rsidR="00F80740">
        <w:t xml:space="preserve">the </w:t>
      </w:r>
      <w:r w:rsidR="00901F69" w:rsidRPr="00560323">
        <w:t xml:space="preserve">presence and stability of the </w:t>
      </w:r>
      <w:r w:rsidR="00901F69">
        <w:t>introduced</w:t>
      </w:r>
      <w:r w:rsidR="00901F69" w:rsidRPr="00560323">
        <w:t xml:space="preserve"> DNA.</w:t>
      </w:r>
      <w:r w:rsidR="00E22364" w:rsidRPr="00E22364">
        <w:t xml:space="preserve"> Bioinformatic analysis indicated that the enzyme shows no significant homology with any known toxins.</w:t>
      </w:r>
    </w:p>
    <w:p w14:paraId="51AC9883" w14:textId="5D9C31C5" w:rsidR="00F667EB" w:rsidRDefault="00F667EB" w:rsidP="00031EE4"/>
    <w:p w14:paraId="3E68834E" w14:textId="1265FA8E" w:rsidR="00F667EB" w:rsidRDefault="005A3C3D" w:rsidP="00F667EB">
      <w:r>
        <w:t>M</w:t>
      </w:r>
      <w:r w:rsidR="00E22364" w:rsidRPr="00E22364">
        <w:t xml:space="preserve">altogenic alpha amylase </w:t>
      </w:r>
      <w:r w:rsidR="00F80740">
        <w:t>was not genotoxic</w:t>
      </w:r>
      <w:r w:rsidR="00F667EB">
        <w:t xml:space="preserve"> </w:t>
      </w:r>
      <w:r w:rsidR="00F667EB" w:rsidRPr="000F3AB9">
        <w:rPr>
          <w:i/>
        </w:rPr>
        <w:t>in vitro</w:t>
      </w:r>
      <w:r w:rsidR="00F667EB">
        <w:t>. The</w:t>
      </w:r>
      <w:r w:rsidR="003A4323">
        <w:t xml:space="preserve"> no observed adverse effect level</w:t>
      </w:r>
      <w:r w:rsidR="00F667EB">
        <w:t xml:space="preserve"> </w:t>
      </w:r>
      <w:r w:rsidR="003A4323">
        <w:t>(</w:t>
      </w:r>
      <w:r w:rsidR="00F667EB">
        <w:t>NOAEL</w:t>
      </w:r>
      <w:r w:rsidR="003A4323">
        <w:t>)</w:t>
      </w:r>
      <w:r w:rsidR="00F667EB">
        <w:t xml:space="preserve"> determined in a 90-day oral gavage study in rats was 1000 mg/kg bw/day total protein, equivalent to 838 mg/kg bw/day </w:t>
      </w:r>
      <w:r w:rsidR="004F560A">
        <w:t>Total O</w:t>
      </w:r>
      <w:r w:rsidR="003A4323">
        <w:t xml:space="preserve">rganic </w:t>
      </w:r>
      <w:r w:rsidR="004F560A">
        <w:t>S</w:t>
      </w:r>
      <w:r w:rsidR="003A4323">
        <w:t>olids (</w:t>
      </w:r>
      <w:r w:rsidR="00F667EB">
        <w:t>TOS</w:t>
      </w:r>
      <w:r w:rsidR="003A4323">
        <w:t>)</w:t>
      </w:r>
      <w:r w:rsidR="00F80740">
        <w:t>.</w:t>
      </w:r>
      <w:r w:rsidR="00F667EB">
        <w:t xml:space="preserve"> The </w:t>
      </w:r>
      <w:r w:rsidR="00130162">
        <w:t>theoretical maximum daily intake (</w:t>
      </w:r>
      <w:r w:rsidR="00F667EB">
        <w:t>TMDI</w:t>
      </w:r>
      <w:r w:rsidR="00130162">
        <w:t>)</w:t>
      </w:r>
      <w:r w:rsidR="00F667EB">
        <w:t xml:space="preserve"> was calculated to be 1.06 mg/kg bw/day TOS. A comparison of the NOAEL and the TMDI gives a Margin of Exposure (MOE) of approximately 790.</w:t>
      </w:r>
    </w:p>
    <w:p w14:paraId="4A821197" w14:textId="77777777" w:rsidR="00F667EB" w:rsidRDefault="00F667EB" w:rsidP="00F667EB"/>
    <w:p w14:paraId="4E08DC46" w14:textId="387D33ED" w:rsidR="00E22364" w:rsidRDefault="00E22364" w:rsidP="00F667EB">
      <w:pPr>
        <w:rPr>
          <w:lang w:eastAsia="en-AU"/>
        </w:rPr>
      </w:pPr>
      <w:r>
        <w:rPr>
          <w:lang w:bidi="ar-SA"/>
        </w:rPr>
        <w:t>B</w:t>
      </w:r>
      <w:r w:rsidR="00F667EB" w:rsidRPr="00F667EB">
        <w:rPr>
          <w:lang w:bidi="ar-SA"/>
        </w:rPr>
        <w:t>ioi</w:t>
      </w:r>
      <w:r w:rsidR="00F667EB" w:rsidRPr="00746286">
        <w:rPr>
          <w:lang w:bidi="ar-SA"/>
        </w:rPr>
        <w:t xml:space="preserve">nformatic analysis showed that the enzyme has a degree of homology with </w:t>
      </w:r>
      <w:r>
        <w:rPr>
          <w:lang w:bidi="ar-SA"/>
        </w:rPr>
        <w:t xml:space="preserve">several </w:t>
      </w:r>
      <w:r w:rsidR="00F667EB" w:rsidRPr="00746286">
        <w:rPr>
          <w:lang w:bidi="ar-SA"/>
        </w:rPr>
        <w:t xml:space="preserve">known allergens. None were food allergens. No report of sensitisation to any form of maltogenic </w:t>
      </w:r>
      <w:r w:rsidR="00F667EB">
        <w:rPr>
          <w:lang w:bidi="ar-SA"/>
        </w:rPr>
        <w:t>alpha</w:t>
      </w:r>
      <w:r w:rsidR="002047F0">
        <w:rPr>
          <w:lang w:bidi="ar-SA"/>
        </w:rPr>
        <w:t xml:space="preserve"> </w:t>
      </w:r>
      <w:r w:rsidR="00F667EB">
        <w:rPr>
          <w:lang w:bidi="ar-SA"/>
        </w:rPr>
        <w:t>amylase</w:t>
      </w:r>
      <w:r w:rsidR="00F667EB" w:rsidRPr="00746286">
        <w:rPr>
          <w:lang w:bidi="ar-SA"/>
        </w:rPr>
        <w:t xml:space="preserve">s was found in a search of the scientific literature and maltogenic </w:t>
      </w:r>
      <w:r w:rsidR="00F667EB">
        <w:rPr>
          <w:lang w:bidi="ar-SA"/>
        </w:rPr>
        <w:t>alpha</w:t>
      </w:r>
      <w:r w:rsidR="002047F0">
        <w:rPr>
          <w:lang w:bidi="ar-SA"/>
        </w:rPr>
        <w:t xml:space="preserve"> </w:t>
      </w:r>
      <w:r w:rsidR="00F667EB">
        <w:rPr>
          <w:lang w:bidi="ar-SA"/>
        </w:rPr>
        <w:t>amylase</w:t>
      </w:r>
      <w:r w:rsidR="009D0C96">
        <w:rPr>
          <w:lang w:bidi="ar-SA"/>
        </w:rPr>
        <w:t>s</w:t>
      </w:r>
      <w:r w:rsidR="00F667EB" w:rsidRPr="00746286">
        <w:rPr>
          <w:lang w:bidi="ar-SA"/>
        </w:rPr>
        <w:t xml:space="preserve"> from the same source organism </w:t>
      </w:r>
      <w:r w:rsidR="009D0C96">
        <w:rPr>
          <w:lang w:bidi="ar-SA"/>
        </w:rPr>
        <w:t>are</w:t>
      </w:r>
      <w:r w:rsidR="00F667EB" w:rsidRPr="00746286">
        <w:rPr>
          <w:lang w:bidi="ar-SA"/>
        </w:rPr>
        <w:t xml:space="preserve"> already permitted in the Code. </w:t>
      </w:r>
      <w:r w:rsidR="00F667EB" w:rsidRPr="00CF274A">
        <w:rPr>
          <w:lang w:bidi="ar-SA"/>
        </w:rPr>
        <w:t xml:space="preserve">On that basis, </w:t>
      </w:r>
      <w:r w:rsidR="00D42BD9" w:rsidRPr="00CF274A">
        <w:rPr>
          <w:lang w:eastAsia="en-AU"/>
        </w:rPr>
        <w:t xml:space="preserve">the enzyme was considered to be of low </w:t>
      </w:r>
      <w:r w:rsidR="00267F59" w:rsidRPr="00CF274A">
        <w:rPr>
          <w:lang w:eastAsia="en-AU"/>
        </w:rPr>
        <w:t xml:space="preserve">allergenic </w:t>
      </w:r>
      <w:r w:rsidR="00D42BD9" w:rsidRPr="00CF274A">
        <w:rPr>
          <w:lang w:eastAsia="en-AU"/>
        </w:rPr>
        <w:t>risk</w:t>
      </w:r>
      <w:r w:rsidR="00F667EB" w:rsidRPr="00CF274A">
        <w:rPr>
          <w:lang w:eastAsia="en-AU"/>
        </w:rPr>
        <w:t xml:space="preserve"> to consumers when used as a processing aid in food.</w:t>
      </w:r>
      <w:r w:rsidR="00C94C71">
        <w:rPr>
          <w:lang w:eastAsia="en-AU"/>
        </w:rPr>
        <w:t xml:space="preserve"> </w:t>
      </w:r>
    </w:p>
    <w:p w14:paraId="00EF289A" w14:textId="77777777" w:rsidR="00E22364" w:rsidRDefault="00E22364" w:rsidP="00F667EB">
      <w:pPr>
        <w:rPr>
          <w:lang w:eastAsia="en-AU"/>
        </w:rPr>
      </w:pPr>
    </w:p>
    <w:p w14:paraId="635C842D" w14:textId="11B2518C" w:rsidR="00F667EB" w:rsidRPr="00F667EB" w:rsidRDefault="00F667EB" w:rsidP="00F667EB">
      <w:r>
        <w:t xml:space="preserve">Based on the reviewed data it is concluded that in the absence of any identifiable hazard an Acceptable Daily Intake (ADI) ‘not specified’ is appropriate. </w:t>
      </w:r>
    </w:p>
    <w:p w14:paraId="068815AE"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2DB46883"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A4F3CD8" w14:textId="4DBF0F6A" w:rsidR="00F8790E"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87259290" w:history="1">
        <w:r w:rsidR="00F8790E" w:rsidRPr="001F6F4F">
          <w:rPr>
            <w:rStyle w:val="Hyperlink"/>
            <w:noProof/>
          </w:rPr>
          <w:t>Executive summary</w:t>
        </w:r>
        <w:r w:rsidR="00F8790E">
          <w:rPr>
            <w:noProof/>
            <w:webHidden/>
          </w:rPr>
          <w:tab/>
        </w:r>
        <w:r w:rsidR="00F8790E">
          <w:rPr>
            <w:noProof/>
            <w:webHidden/>
          </w:rPr>
          <w:fldChar w:fldCharType="begin"/>
        </w:r>
        <w:r w:rsidR="00F8790E">
          <w:rPr>
            <w:noProof/>
            <w:webHidden/>
          </w:rPr>
          <w:instrText xml:space="preserve"> PAGEREF _Toc87259290 \h </w:instrText>
        </w:r>
        <w:r w:rsidR="00F8790E">
          <w:rPr>
            <w:noProof/>
            <w:webHidden/>
          </w:rPr>
        </w:r>
        <w:r w:rsidR="00F8790E">
          <w:rPr>
            <w:noProof/>
            <w:webHidden/>
          </w:rPr>
          <w:fldChar w:fldCharType="separate"/>
        </w:r>
        <w:r w:rsidR="00F8790E">
          <w:rPr>
            <w:noProof/>
            <w:webHidden/>
          </w:rPr>
          <w:t>i</w:t>
        </w:r>
        <w:r w:rsidR="00F8790E">
          <w:rPr>
            <w:noProof/>
            <w:webHidden/>
          </w:rPr>
          <w:fldChar w:fldCharType="end"/>
        </w:r>
      </w:hyperlink>
    </w:p>
    <w:p w14:paraId="0CDE0D9A" w14:textId="0B2FD290"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291" w:history="1">
        <w:r w:rsidR="00F8790E" w:rsidRPr="001F6F4F">
          <w:rPr>
            <w:rStyle w:val="Hyperlink"/>
            <w:noProof/>
          </w:rPr>
          <w:t xml:space="preserve">1 </w:t>
        </w:r>
        <w:r w:rsidR="00F8790E">
          <w:rPr>
            <w:rFonts w:eastAsiaTheme="minorEastAsia" w:cstheme="minorBidi"/>
            <w:b w:val="0"/>
            <w:bCs w:val="0"/>
            <w:caps w:val="0"/>
            <w:noProof/>
            <w:sz w:val="22"/>
            <w:szCs w:val="22"/>
            <w:lang w:eastAsia="en-GB" w:bidi="ar-SA"/>
          </w:rPr>
          <w:tab/>
        </w:r>
        <w:r w:rsidR="00F8790E" w:rsidRPr="001F6F4F">
          <w:rPr>
            <w:rStyle w:val="Hyperlink"/>
            <w:noProof/>
          </w:rPr>
          <w:t>Introduction</w:t>
        </w:r>
        <w:r w:rsidR="00F8790E">
          <w:rPr>
            <w:noProof/>
            <w:webHidden/>
          </w:rPr>
          <w:tab/>
        </w:r>
        <w:r w:rsidR="00F8790E">
          <w:rPr>
            <w:noProof/>
            <w:webHidden/>
          </w:rPr>
          <w:fldChar w:fldCharType="begin"/>
        </w:r>
        <w:r w:rsidR="00F8790E">
          <w:rPr>
            <w:noProof/>
            <w:webHidden/>
          </w:rPr>
          <w:instrText xml:space="preserve"> PAGEREF _Toc87259291 \h </w:instrText>
        </w:r>
        <w:r w:rsidR="00F8790E">
          <w:rPr>
            <w:noProof/>
            <w:webHidden/>
          </w:rPr>
        </w:r>
        <w:r w:rsidR="00F8790E">
          <w:rPr>
            <w:noProof/>
            <w:webHidden/>
          </w:rPr>
          <w:fldChar w:fldCharType="separate"/>
        </w:r>
        <w:r w:rsidR="00F8790E">
          <w:rPr>
            <w:noProof/>
            <w:webHidden/>
          </w:rPr>
          <w:t>2</w:t>
        </w:r>
        <w:r w:rsidR="00F8790E">
          <w:rPr>
            <w:noProof/>
            <w:webHidden/>
          </w:rPr>
          <w:fldChar w:fldCharType="end"/>
        </w:r>
      </w:hyperlink>
    </w:p>
    <w:p w14:paraId="3DBC8C56" w14:textId="70AC5DC9"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292" w:history="1">
        <w:r w:rsidR="00F8790E" w:rsidRPr="001F6F4F">
          <w:rPr>
            <w:rStyle w:val="Hyperlink"/>
            <w:noProof/>
          </w:rPr>
          <w:t>1.1</w:t>
        </w:r>
        <w:r w:rsidR="00F8790E">
          <w:rPr>
            <w:rFonts w:eastAsiaTheme="minorEastAsia" w:cstheme="minorBidi"/>
            <w:smallCaps w:val="0"/>
            <w:noProof/>
            <w:sz w:val="22"/>
            <w:szCs w:val="22"/>
            <w:lang w:eastAsia="en-GB" w:bidi="ar-SA"/>
          </w:rPr>
          <w:tab/>
        </w:r>
        <w:r w:rsidR="00F8790E" w:rsidRPr="001F6F4F">
          <w:rPr>
            <w:rStyle w:val="Hyperlink"/>
            <w:noProof/>
          </w:rPr>
          <w:t>Objectives of the assessment</w:t>
        </w:r>
        <w:r w:rsidR="00F8790E">
          <w:rPr>
            <w:noProof/>
            <w:webHidden/>
          </w:rPr>
          <w:tab/>
        </w:r>
        <w:r w:rsidR="00F8790E">
          <w:rPr>
            <w:noProof/>
            <w:webHidden/>
          </w:rPr>
          <w:fldChar w:fldCharType="begin"/>
        </w:r>
        <w:r w:rsidR="00F8790E">
          <w:rPr>
            <w:noProof/>
            <w:webHidden/>
          </w:rPr>
          <w:instrText xml:space="preserve"> PAGEREF _Toc87259292 \h </w:instrText>
        </w:r>
        <w:r w:rsidR="00F8790E">
          <w:rPr>
            <w:noProof/>
            <w:webHidden/>
          </w:rPr>
        </w:r>
        <w:r w:rsidR="00F8790E">
          <w:rPr>
            <w:noProof/>
            <w:webHidden/>
          </w:rPr>
          <w:fldChar w:fldCharType="separate"/>
        </w:r>
        <w:r w:rsidR="00F8790E">
          <w:rPr>
            <w:noProof/>
            <w:webHidden/>
          </w:rPr>
          <w:t>2</w:t>
        </w:r>
        <w:r w:rsidR="00F8790E">
          <w:rPr>
            <w:noProof/>
            <w:webHidden/>
          </w:rPr>
          <w:fldChar w:fldCharType="end"/>
        </w:r>
      </w:hyperlink>
    </w:p>
    <w:p w14:paraId="05608C59" w14:textId="7D43E003"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293" w:history="1">
        <w:r w:rsidR="00F8790E" w:rsidRPr="001F6F4F">
          <w:rPr>
            <w:rStyle w:val="Hyperlink"/>
            <w:noProof/>
          </w:rPr>
          <w:t xml:space="preserve">2 </w:t>
        </w:r>
        <w:r w:rsidR="00F8790E">
          <w:rPr>
            <w:rFonts w:eastAsiaTheme="minorEastAsia" w:cstheme="minorBidi"/>
            <w:b w:val="0"/>
            <w:bCs w:val="0"/>
            <w:caps w:val="0"/>
            <w:noProof/>
            <w:sz w:val="22"/>
            <w:szCs w:val="22"/>
            <w:lang w:eastAsia="en-GB" w:bidi="ar-SA"/>
          </w:rPr>
          <w:tab/>
        </w:r>
        <w:r w:rsidR="00F8790E" w:rsidRPr="001F6F4F">
          <w:rPr>
            <w:rStyle w:val="Hyperlink"/>
            <w:noProof/>
          </w:rPr>
          <w:t>Food technology assessment</w:t>
        </w:r>
        <w:r w:rsidR="00F8790E">
          <w:rPr>
            <w:noProof/>
            <w:webHidden/>
          </w:rPr>
          <w:tab/>
        </w:r>
        <w:r w:rsidR="00F8790E">
          <w:rPr>
            <w:noProof/>
            <w:webHidden/>
          </w:rPr>
          <w:fldChar w:fldCharType="begin"/>
        </w:r>
        <w:r w:rsidR="00F8790E">
          <w:rPr>
            <w:noProof/>
            <w:webHidden/>
          </w:rPr>
          <w:instrText xml:space="preserve"> PAGEREF _Toc87259293 \h </w:instrText>
        </w:r>
        <w:r w:rsidR="00F8790E">
          <w:rPr>
            <w:noProof/>
            <w:webHidden/>
          </w:rPr>
        </w:r>
        <w:r w:rsidR="00F8790E">
          <w:rPr>
            <w:noProof/>
            <w:webHidden/>
          </w:rPr>
          <w:fldChar w:fldCharType="separate"/>
        </w:r>
        <w:r w:rsidR="00F8790E">
          <w:rPr>
            <w:noProof/>
            <w:webHidden/>
          </w:rPr>
          <w:t>2</w:t>
        </w:r>
        <w:r w:rsidR="00F8790E">
          <w:rPr>
            <w:noProof/>
            <w:webHidden/>
          </w:rPr>
          <w:fldChar w:fldCharType="end"/>
        </w:r>
      </w:hyperlink>
    </w:p>
    <w:p w14:paraId="63F4E249" w14:textId="3EA0B502"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294" w:history="1">
        <w:r w:rsidR="00F8790E" w:rsidRPr="001F6F4F">
          <w:rPr>
            <w:rStyle w:val="Hyperlink"/>
            <w:noProof/>
          </w:rPr>
          <w:t>2.1</w:t>
        </w:r>
        <w:r w:rsidR="00F8790E">
          <w:rPr>
            <w:rFonts w:eastAsiaTheme="minorEastAsia" w:cstheme="minorBidi"/>
            <w:smallCaps w:val="0"/>
            <w:noProof/>
            <w:sz w:val="22"/>
            <w:szCs w:val="22"/>
            <w:lang w:eastAsia="en-GB" w:bidi="ar-SA"/>
          </w:rPr>
          <w:tab/>
        </w:r>
        <w:r w:rsidR="00F8790E" w:rsidRPr="001F6F4F">
          <w:rPr>
            <w:rStyle w:val="Hyperlink"/>
            <w:noProof/>
          </w:rPr>
          <w:t>Characterisation of the enzyme</w:t>
        </w:r>
        <w:r w:rsidR="00F8790E">
          <w:rPr>
            <w:noProof/>
            <w:webHidden/>
          </w:rPr>
          <w:tab/>
        </w:r>
        <w:r w:rsidR="00F8790E">
          <w:rPr>
            <w:noProof/>
            <w:webHidden/>
          </w:rPr>
          <w:fldChar w:fldCharType="begin"/>
        </w:r>
        <w:r w:rsidR="00F8790E">
          <w:rPr>
            <w:noProof/>
            <w:webHidden/>
          </w:rPr>
          <w:instrText xml:space="preserve"> PAGEREF _Toc87259294 \h </w:instrText>
        </w:r>
        <w:r w:rsidR="00F8790E">
          <w:rPr>
            <w:noProof/>
            <w:webHidden/>
          </w:rPr>
        </w:r>
        <w:r w:rsidR="00F8790E">
          <w:rPr>
            <w:noProof/>
            <w:webHidden/>
          </w:rPr>
          <w:fldChar w:fldCharType="separate"/>
        </w:r>
        <w:r w:rsidR="00F8790E">
          <w:rPr>
            <w:noProof/>
            <w:webHidden/>
          </w:rPr>
          <w:t>2</w:t>
        </w:r>
        <w:r w:rsidR="00F8790E">
          <w:rPr>
            <w:noProof/>
            <w:webHidden/>
          </w:rPr>
          <w:fldChar w:fldCharType="end"/>
        </w:r>
      </w:hyperlink>
    </w:p>
    <w:p w14:paraId="4499EDF3" w14:textId="0032BB8D"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295" w:history="1">
        <w:r w:rsidR="00F8790E" w:rsidRPr="001F6F4F">
          <w:rPr>
            <w:rStyle w:val="Hyperlink"/>
            <w:noProof/>
          </w:rPr>
          <w:t>2.1.1</w:t>
        </w:r>
        <w:r w:rsidR="00F8790E">
          <w:rPr>
            <w:rFonts w:eastAsiaTheme="minorEastAsia" w:cstheme="minorBidi"/>
            <w:i w:val="0"/>
            <w:iCs w:val="0"/>
            <w:noProof/>
            <w:sz w:val="22"/>
            <w:szCs w:val="22"/>
            <w:lang w:eastAsia="en-GB" w:bidi="ar-SA"/>
          </w:rPr>
          <w:tab/>
        </w:r>
        <w:r w:rsidR="00F8790E" w:rsidRPr="001F6F4F">
          <w:rPr>
            <w:rStyle w:val="Hyperlink"/>
            <w:noProof/>
          </w:rPr>
          <w:t>Identity of the enzyme</w:t>
        </w:r>
        <w:r w:rsidR="00F8790E">
          <w:rPr>
            <w:noProof/>
            <w:webHidden/>
          </w:rPr>
          <w:tab/>
        </w:r>
        <w:r w:rsidR="00F8790E">
          <w:rPr>
            <w:noProof/>
            <w:webHidden/>
          </w:rPr>
          <w:fldChar w:fldCharType="begin"/>
        </w:r>
        <w:r w:rsidR="00F8790E">
          <w:rPr>
            <w:noProof/>
            <w:webHidden/>
          </w:rPr>
          <w:instrText xml:space="preserve"> PAGEREF _Toc87259295 \h </w:instrText>
        </w:r>
        <w:r w:rsidR="00F8790E">
          <w:rPr>
            <w:noProof/>
            <w:webHidden/>
          </w:rPr>
        </w:r>
        <w:r w:rsidR="00F8790E">
          <w:rPr>
            <w:noProof/>
            <w:webHidden/>
          </w:rPr>
          <w:fldChar w:fldCharType="separate"/>
        </w:r>
        <w:r w:rsidR="00F8790E">
          <w:rPr>
            <w:noProof/>
            <w:webHidden/>
          </w:rPr>
          <w:t>2</w:t>
        </w:r>
        <w:r w:rsidR="00F8790E">
          <w:rPr>
            <w:noProof/>
            <w:webHidden/>
          </w:rPr>
          <w:fldChar w:fldCharType="end"/>
        </w:r>
      </w:hyperlink>
    </w:p>
    <w:p w14:paraId="604A5E8A" w14:textId="4C823352"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296" w:history="1">
        <w:r w:rsidR="00F8790E" w:rsidRPr="001F6F4F">
          <w:rPr>
            <w:rStyle w:val="Hyperlink"/>
            <w:noProof/>
          </w:rPr>
          <w:t>2.1.2</w:t>
        </w:r>
        <w:r w:rsidR="00F8790E">
          <w:rPr>
            <w:rFonts w:eastAsiaTheme="minorEastAsia" w:cstheme="minorBidi"/>
            <w:i w:val="0"/>
            <w:iCs w:val="0"/>
            <w:noProof/>
            <w:sz w:val="22"/>
            <w:szCs w:val="22"/>
            <w:lang w:eastAsia="en-GB" w:bidi="ar-SA"/>
          </w:rPr>
          <w:tab/>
        </w:r>
        <w:r w:rsidR="00F8790E" w:rsidRPr="001F6F4F">
          <w:rPr>
            <w:rStyle w:val="Hyperlink"/>
            <w:noProof/>
          </w:rPr>
          <w:t>Technological purpose of the enzyme</w:t>
        </w:r>
        <w:r w:rsidR="00F8790E">
          <w:rPr>
            <w:noProof/>
            <w:webHidden/>
          </w:rPr>
          <w:tab/>
        </w:r>
        <w:r w:rsidR="00F8790E">
          <w:rPr>
            <w:noProof/>
            <w:webHidden/>
          </w:rPr>
          <w:fldChar w:fldCharType="begin"/>
        </w:r>
        <w:r w:rsidR="00F8790E">
          <w:rPr>
            <w:noProof/>
            <w:webHidden/>
          </w:rPr>
          <w:instrText xml:space="preserve"> PAGEREF _Toc87259296 \h </w:instrText>
        </w:r>
        <w:r w:rsidR="00F8790E">
          <w:rPr>
            <w:noProof/>
            <w:webHidden/>
          </w:rPr>
        </w:r>
        <w:r w:rsidR="00F8790E">
          <w:rPr>
            <w:noProof/>
            <w:webHidden/>
          </w:rPr>
          <w:fldChar w:fldCharType="separate"/>
        </w:r>
        <w:r w:rsidR="00F8790E">
          <w:rPr>
            <w:noProof/>
            <w:webHidden/>
          </w:rPr>
          <w:t>3</w:t>
        </w:r>
        <w:r w:rsidR="00F8790E">
          <w:rPr>
            <w:noProof/>
            <w:webHidden/>
          </w:rPr>
          <w:fldChar w:fldCharType="end"/>
        </w:r>
      </w:hyperlink>
    </w:p>
    <w:p w14:paraId="2019B71E" w14:textId="59F04AFD"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297" w:history="1">
        <w:r w:rsidR="00F8790E" w:rsidRPr="001F6F4F">
          <w:rPr>
            <w:rStyle w:val="Hyperlink"/>
            <w:noProof/>
          </w:rPr>
          <w:t>2.1.3</w:t>
        </w:r>
        <w:r w:rsidR="00F8790E">
          <w:rPr>
            <w:rFonts w:eastAsiaTheme="minorEastAsia" w:cstheme="minorBidi"/>
            <w:i w:val="0"/>
            <w:iCs w:val="0"/>
            <w:noProof/>
            <w:sz w:val="22"/>
            <w:szCs w:val="22"/>
            <w:lang w:eastAsia="en-GB" w:bidi="ar-SA"/>
          </w:rPr>
          <w:tab/>
        </w:r>
        <w:r w:rsidR="00F8790E" w:rsidRPr="001F6F4F">
          <w:rPr>
            <w:rStyle w:val="Hyperlink"/>
            <w:noProof/>
          </w:rPr>
          <w:t>Technological justification for the enzyme</w:t>
        </w:r>
        <w:r w:rsidR="00F8790E">
          <w:rPr>
            <w:noProof/>
            <w:webHidden/>
          </w:rPr>
          <w:tab/>
        </w:r>
        <w:r w:rsidR="00F8790E">
          <w:rPr>
            <w:noProof/>
            <w:webHidden/>
          </w:rPr>
          <w:fldChar w:fldCharType="begin"/>
        </w:r>
        <w:r w:rsidR="00F8790E">
          <w:rPr>
            <w:noProof/>
            <w:webHidden/>
          </w:rPr>
          <w:instrText xml:space="preserve"> PAGEREF _Toc87259297 \h </w:instrText>
        </w:r>
        <w:r w:rsidR="00F8790E">
          <w:rPr>
            <w:noProof/>
            <w:webHidden/>
          </w:rPr>
        </w:r>
        <w:r w:rsidR="00F8790E">
          <w:rPr>
            <w:noProof/>
            <w:webHidden/>
          </w:rPr>
          <w:fldChar w:fldCharType="separate"/>
        </w:r>
        <w:r w:rsidR="00F8790E">
          <w:rPr>
            <w:noProof/>
            <w:webHidden/>
          </w:rPr>
          <w:t>4</w:t>
        </w:r>
        <w:r w:rsidR="00F8790E">
          <w:rPr>
            <w:noProof/>
            <w:webHidden/>
          </w:rPr>
          <w:fldChar w:fldCharType="end"/>
        </w:r>
      </w:hyperlink>
    </w:p>
    <w:p w14:paraId="1592AB5B" w14:textId="587BA360"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298" w:history="1">
        <w:r w:rsidR="00F8790E" w:rsidRPr="001F6F4F">
          <w:rPr>
            <w:rStyle w:val="Hyperlink"/>
            <w:noProof/>
          </w:rPr>
          <w:t>2.2</w:t>
        </w:r>
        <w:r w:rsidR="00F8790E">
          <w:rPr>
            <w:rFonts w:eastAsiaTheme="minorEastAsia" w:cstheme="minorBidi"/>
            <w:smallCaps w:val="0"/>
            <w:noProof/>
            <w:sz w:val="22"/>
            <w:szCs w:val="22"/>
            <w:lang w:eastAsia="en-GB" w:bidi="ar-SA"/>
          </w:rPr>
          <w:tab/>
        </w:r>
        <w:r w:rsidR="00F8790E" w:rsidRPr="001F6F4F">
          <w:rPr>
            <w:rStyle w:val="Hyperlink"/>
            <w:noProof/>
          </w:rPr>
          <w:t>Manufacturing process</w:t>
        </w:r>
        <w:r w:rsidR="00F8790E">
          <w:rPr>
            <w:noProof/>
            <w:webHidden/>
          </w:rPr>
          <w:tab/>
        </w:r>
        <w:r w:rsidR="00F8790E">
          <w:rPr>
            <w:noProof/>
            <w:webHidden/>
          </w:rPr>
          <w:fldChar w:fldCharType="begin"/>
        </w:r>
        <w:r w:rsidR="00F8790E">
          <w:rPr>
            <w:noProof/>
            <w:webHidden/>
          </w:rPr>
          <w:instrText xml:space="preserve"> PAGEREF _Toc87259298 \h </w:instrText>
        </w:r>
        <w:r w:rsidR="00F8790E">
          <w:rPr>
            <w:noProof/>
            <w:webHidden/>
          </w:rPr>
        </w:r>
        <w:r w:rsidR="00F8790E">
          <w:rPr>
            <w:noProof/>
            <w:webHidden/>
          </w:rPr>
          <w:fldChar w:fldCharType="separate"/>
        </w:r>
        <w:r w:rsidR="00F8790E">
          <w:rPr>
            <w:noProof/>
            <w:webHidden/>
          </w:rPr>
          <w:t>5</w:t>
        </w:r>
        <w:r w:rsidR="00F8790E">
          <w:rPr>
            <w:noProof/>
            <w:webHidden/>
          </w:rPr>
          <w:fldChar w:fldCharType="end"/>
        </w:r>
      </w:hyperlink>
    </w:p>
    <w:p w14:paraId="36C4710A" w14:textId="496C4D2A"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299" w:history="1">
        <w:r w:rsidR="00F8790E" w:rsidRPr="001F6F4F">
          <w:rPr>
            <w:rStyle w:val="Hyperlink"/>
            <w:noProof/>
          </w:rPr>
          <w:t>2.2.1</w:t>
        </w:r>
        <w:r w:rsidR="00F8790E">
          <w:rPr>
            <w:rFonts w:eastAsiaTheme="minorEastAsia" w:cstheme="minorBidi"/>
            <w:i w:val="0"/>
            <w:iCs w:val="0"/>
            <w:noProof/>
            <w:sz w:val="22"/>
            <w:szCs w:val="22"/>
            <w:lang w:eastAsia="en-GB" w:bidi="ar-SA"/>
          </w:rPr>
          <w:tab/>
        </w:r>
        <w:r w:rsidR="00F8790E" w:rsidRPr="001F6F4F">
          <w:rPr>
            <w:rStyle w:val="Hyperlink"/>
            <w:noProof/>
          </w:rPr>
          <w:t>Production of the enzyme</w:t>
        </w:r>
        <w:r w:rsidR="00F8790E">
          <w:rPr>
            <w:noProof/>
            <w:webHidden/>
          </w:rPr>
          <w:tab/>
        </w:r>
        <w:r w:rsidR="00F8790E">
          <w:rPr>
            <w:noProof/>
            <w:webHidden/>
          </w:rPr>
          <w:fldChar w:fldCharType="begin"/>
        </w:r>
        <w:r w:rsidR="00F8790E">
          <w:rPr>
            <w:noProof/>
            <w:webHidden/>
          </w:rPr>
          <w:instrText xml:space="preserve"> PAGEREF _Toc87259299 \h </w:instrText>
        </w:r>
        <w:r w:rsidR="00F8790E">
          <w:rPr>
            <w:noProof/>
            <w:webHidden/>
          </w:rPr>
        </w:r>
        <w:r w:rsidR="00F8790E">
          <w:rPr>
            <w:noProof/>
            <w:webHidden/>
          </w:rPr>
          <w:fldChar w:fldCharType="separate"/>
        </w:r>
        <w:r w:rsidR="00F8790E">
          <w:rPr>
            <w:noProof/>
            <w:webHidden/>
          </w:rPr>
          <w:t>5</w:t>
        </w:r>
        <w:r w:rsidR="00F8790E">
          <w:rPr>
            <w:noProof/>
            <w:webHidden/>
          </w:rPr>
          <w:fldChar w:fldCharType="end"/>
        </w:r>
      </w:hyperlink>
    </w:p>
    <w:p w14:paraId="29316234" w14:textId="56920010"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0" w:history="1">
        <w:r w:rsidR="00F8790E" w:rsidRPr="001F6F4F">
          <w:rPr>
            <w:rStyle w:val="Hyperlink"/>
            <w:noProof/>
          </w:rPr>
          <w:t>2.2.2</w:t>
        </w:r>
        <w:r w:rsidR="00F8790E">
          <w:rPr>
            <w:rFonts w:eastAsiaTheme="minorEastAsia" w:cstheme="minorBidi"/>
            <w:i w:val="0"/>
            <w:iCs w:val="0"/>
            <w:noProof/>
            <w:sz w:val="22"/>
            <w:szCs w:val="22"/>
            <w:lang w:eastAsia="en-GB" w:bidi="ar-SA"/>
          </w:rPr>
          <w:tab/>
        </w:r>
        <w:r w:rsidR="00F8790E" w:rsidRPr="001F6F4F">
          <w:rPr>
            <w:rStyle w:val="Hyperlink"/>
            <w:noProof/>
          </w:rPr>
          <w:t>Allergen considerations</w:t>
        </w:r>
        <w:r w:rsidR="00F8790E">
          <w:rPr>
            <w:noProof/>
            <w:webHidden/>
          </w:rPr>
          <w:tab/>
        </w:r>
        <w:r w:rsidR="00F8790E">
          <w:rPr>
            <w:noProof/>
            <w:webHidden/>
          </w:rPr>
          <w:fldChar w:fldCharType="begin"/>
        </w:r>
        <w:r w:rsidR="00F8790E">
          <w:rPr>
            <w:noProof/>
            <w:webHidden/>
          </w:rPr>
          <w:instrText xml:space="preserve"> PAGEREF _Toc87259300 \h </w:instrText>
        </w:r>
        <w:r w:rsidR="00F8790E">
          <w:rPr>
            <w:noProof/>
            <w:webHidden/>
          </w:rPr>
        </w:r>
        <w:r w:rsidR="00F8790E">
          <w:rPr>
            <w:noProof/>
            <w:webHidden/>
          </w:rPr>
          <w:fldChar w:fldCharType="separate"/>
        </w:r>
        <w:r w:rsidR="00F8790E">
          <w:rPr>
            <w:noProof/>
            <w:webHidden/>
          </w:rPr>
          <w:t>6</w:t>
        </w:r>
        <w:r w:rsidR="00F8790E">
          <w:rPr>
            <w:noProof/>
            <w:webHidden/>
          </w:rPr>
          <w:fldChar w:fldCharType="end"/>
        </w:r>
      </w:hyperlink>
    </w:p>
    <w:p w14:paraId="66912900" w14:textId="3D932AC1"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1" w:history="1">
        <w:r w:rsidR="00F8790E" w:rsidRPr="001F6F4F">
          <w:rPr>
            <w:rStyle w:val="Hyperlink"/>
            <w:noProof/>
          </w:rPr>
          <w:t>2.2.3</w:t>
        </w:r>
        <w:r w:rsidR="00F8790E">
          <w:rPr>
            <w:rFonts w:eastAsiaTheme="minorEastAsia" w:cstheme="minorBidi"/>
            <w:i w:val="0"/>
            <w:iCs w:val="0"/>
            <w:noProof/>
            <w:sz w:val="22"/>
            <w:szCs w:val="22"/>
            <w:lang w:eastAsia="en-GB" w:bidi="ar-SA"/>
          </w:rPr>
          <w:tab/>
        </w:r>
        <w:r w:rsidR="00F8790E" w:rsidRPr="001F6F4F">
          <w:rPr>
            <w:rStyle w:val="Hyperlink"/>
            <w:noProof/>
          </w:rPr>
          <w:t>Specifications</w:t>
        </w:r>
        <w:r w:rsidR="00F8790E">
          <w:rPr>
            <w:noProof/>
            <w:webHidden/>
          </w:rPr>
          <w:tab/>
        </w:r>
        <w:r w:rsidR="00F8790E">
          <w:rPr>
            <w:noProof/>
            <w:webHidden/>
          </w:rPr>
          <w:fldChar w:fldCharType="begin"/>
        </w:r>
        <w:r w:rsidR="00F8790E">
          <w:rPr>
            <w:noProof/>
            <w:webHidden/>
          </w:rPr>
          <w:instrText xml:space="preserve"> PAGEREF _Toc87259301 \h </w:instrText>
        </w:r>
        <w:r w:rsidR="00F8790E">
          <w:rPr>
            <w:noProof/>
            <w:webHidden/>
          </w:rPr>
        </w:r>
        <w:r w:rsidR="00F8790E">
          <w:rPr>
            <w:noProof/>
            <w:webHidden/>
          </w:rPr>
          <w:fldChar w:fldCharType="separate"/>
        </w:r>
        <w:r w:rsidR="00F8790E">
          <w:rPr>
            <w:noProof/>
            <w:webHidden/>
          </w:rPr>
          <w:t>6</w:t>
        </w:r>
        <w:r w:rsidR="00F8790E">
          <w:rPr>
            <w:noProof/>
            <w:webHidden/>
          </w:rPr>
          <w:fldChar w:fldCharType="end"/>
        </w:r>
      </w:hyperlink>
    </w:p>
    <w:p w14:paraId="69DEC31C" w14:textId="1D7224D0"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302" w:history="1">
        <w:r w:rsidR="00F8790E" w:rsidRPr="001F6F4F">
          <w:rPr>
            <w:rStyle w:val="Hyperlink"/>
            <w:noProof/>
          </w:rPr>
          <w:t>2.3</w:t>
        </w:r>
        <w:r w:rsidR="00F8790E">
          <w:rPr>
            <w:rFonts w:eastAsiaTheme="minorEastAsia" w:cstheme="minorBidi"/>
            <w:smallCaps w:val="0"/>
            <w:noProof/>
            <w:sz w:val="22"/>
            <w:szCs w:val="22"/>
            <w:lang w:eastAsia="en-GB" w:bidi="ar-SA"/>
          </w:rPr>
          <w:tab/>
        </w:r>
        <w:r w:rsidR="00F8790E" w:rsidRPr="001F6F4F">
          <w:rPr>
            <w:rStyle w:val="Hyperlink"/>
            <w:noProof/>
          </w:rPr>
          <w:t>Food technology conclusion</w:t>
        </w:r>
        <w:r w:rsidR="00F8790E">
          <w:rPr>
            <w:noProof/>
            <w:webHidden/>
          </w:rPr>
          <w:tab/>
        </w:r>
        <w:r w:rsidR="00F8790E">
          <w:rPr>
            <w:noProof/>
            <w:webHidden/>
          </w:rPr>
          <w:fldChar w:fldCharType="begin"/>
        </w:r>
        <w:r w:rsidR="00F8790E">
          <w:rPr>
            <w:noProof/>
            <w:webHidden/>
          </w:rPr>
          <w:instrText xml:space="preserve"> PAGEREF _Toc87259302 \h </w:instrText>
        </w:r>
        <w:r w:rsidR="00F8790E">
          <w:rPr>
            <w:noProof/>
            <w:webHidden/>
          </w:rPr>
        </w:r>
        <w:r w:rsidR="00F8790E">
          <w:rPr>
            <w:noProof/>
            <w:webHidden/>
          </w:rPr>
          <w:fldChar w:fldCharType="separate"/>
        </w:r>
        <w:r w:rsidR="00F8790E">
          <w:rPr>
            <w:noProof/>
            <w:webHidden/>
          </w:rPr>
          <w:t>7</w:t>
        </w:r>
        <w:r w:rsidR="00F8790E">
          <w:rPr>
            <w:noProof/>
            <w:webHidden/>
          </w:rPr>
          <w:fldChar w:fldCharType="end"/>
        </w:r>
      </w:hyperlink>
    </w:p>
    <w:p w14:paraId="21EFE868" w14:textId="383D800A"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303" w:history="1">
        <w:r w:rsidR="00F8790E" w:rsidRPr="001F6F4F">
          <w:rPr>
            <w:rStyle w:val="Hyperlink"/>
            <w:noProof/>
          </w:rPr>
          <w:t xml:space="preserve">3 </w:t>
        </w:r>
        <w:r w:rsidR="00F8790E">
          <w:rPr>
            <w:rFonts w:eastAsiaTheme="minorEastAsia" w:cstheme="minorBidi"/>
            <w:b w:val="0"/>
            <w:bCs w:val="0"/>
            <w:caps w:val="0"/>
            <w:noProof/>
            <w:sz w:val="22"/>
            <w:szCs w:val="22"/>
            <w:lang w:eastAsia="en-GB" w:bidi="ar-SA"/>
          </w:rPr>
          <w:tab/>
        </w:r>
        <w:r w:rsidR="00F8790E" w:rsidRPr="001F6F4F">
          <w:rPr>
            <w:rStyle w:val="Hyperlink"/>
            <w:noProof/>
          </w:rPr>
          <w:t>Safety assessment</w:t>
        </w:r>
        <w:r w:rsidR="00F8790E">
          <w:rPr>
            <w:noProof/>
            <w:webHidden/>
          </w:rPr>
          <w:tab/>
        </w:r>
        <w:r w:rsidR="00F8790E">
          <w:rPr>
            <w:noProof/>
            <w:webHidden/>
          </w:rPr>
          <w:fldChar w:fldCharType="begin"/>
        </w:r>
        <w:r w:rsidR="00F8790E">
          <w:rPr>
            <w:noProof/>
            <w:webHidden/>
          </w:rPr>
          <w:instrText xml:space="preserve"> PAGEREF _Toc87259303 \h </w:instrText>
        </w:r>
        <w:r w:rsidR="00F8790E">
          <w:rPr>
            <w:noProof/>
            <w:webHidden/>
          </w:rPr>
        </w:r>
        <w:r w:rsidR="00F8790E">
          <w:rPr>
            <w:noProof/>
            <w:webHidden/>
          </w:rPr>
          <w:fldChar w:fldCharType="separate"/>
        </w:r>
        <w:r w:rsidR="00F8790E">
          <w:rPr>
            <w:noProof/>
            <w:webHidden/>
          </w:rPr>
          <w:t>7</w:t>
        </w:r>
        <w:r w:rsidR="00F8790E">
          <w:rPr>
            <w:noProof/>
            <w:webHidden/>
          </w:rPr>
          <w:fldChar w:fldCharType="end"/>
        </w:r>
      </w:hyperlink>
    </w:p>
    <w:p w14:paraId="0BB3B274" w14:textId="76E5C115"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304" w:history="1">
        <w:r w:rsidR="00F8790E" w:rsidRPr="001F6F4F">
          <w:rPr>
            <w:rStyle w:val="Hyperlink"/>
            <w:noProof/>
          </w:rPr>
          <w:t>3.1</w:t>
        </w:r>
        <w:r w:rsidR="00F8790E">
          <w:rPr>
            <w:rFonts w:eastAsiaTheme="minorEastAsia" w:cstheme="minorBidi"/>
            <w:smallCaps w:val="0"/>
            <w:noProof/>
            <w:sz w:val="22"/>
            <w:szCs w:val="22"/>
            <w:lang w:eastAsia="en-GB" w:bidi="ar-SA"/>
          </w:rPr>
          <w:tab/>
        </w:r>
        <w:r w:rsidR="00F8790E" w:rsidRPr="001F6F4F">
          <w:rPr>
            <w:rStyle w:val="Hyperlink"/>
            <w:noProof/>
          </w:rPr>
          <w:t>History of use</w:t>
        </w:r>
        <w:r w:rsidR="00F8790E">
          <w:rPr>
            <w:noProof/>
            <w:webHidden/>
          </w:rPr>
          <w:tab/>
        </w:r>
        <w:r w:rsidR="00F8790E">
          <w:rPr>
            <w:noProof/>
            <w:webHidden/>
          </w:rPr>
          <w:fldChar w:fldCharType="begin"/>
        </w:r>
        <w:r w:rsidR="00F8790E">
          <w:rPr>
            <w:noProof/>
            <w:webHidden/>
          </w:rPr>
          <w:instrText xml:space="preserve"> PAGEREF _Toc87259304 \h </w:instrText>
        </w:r>
        <w:r w:rsidR="00F8790E">
          <w:rPr>
            <w:noProof/>
            <w:webHidden/>
          </w:rPr>
        </w:r>
        <w:r w:rsidR="00F8790E">
          <w:rPr>
            <w:noProof/>
            <w:webHidden/>
          </w:rPr>
          <w:fldChar w:fldCharType="separate"/>
        </w:r>
        <w:r w:rsidR="00F8790E">
          <w:rPr>
            <w:noProof/>
            <w:webHidden/>
          </w:rPr>
          <w:t>7</w:t>
        </w:r>
        <w:r w:rsidR="00F8790E">
          <w:rPr>
            <w:noProof/>
            <w:webHidden/>
          </w:rPr>
          <w:fldChar w:fldCharType="end"/>
        </w:r>
      </w:hyperlink>
    </w:p>
    <w:p w14:paraId="07D1C95C" w14:textId="2CBEE48D"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5" w:history="1">
        <w:r w:rsidR="00F8790E" w:rsidRPr="001F6F4F">
          <w:rPr>
            <w:rStyle w:val="Hyperlink"/>
            <w:noProof/>
          </w:rPr>
          <w:t>3.1.1</w:t>
        </w:r>
        <w:r w:rsidR="00F8790E">
          <w:rPr>
            <w:rFonts w:eastAsiaTheme="minorEastAsia" w:cstheme="minorBidi"/>
            <w:i w:val="0"/>
            <w:iCs w:val="0"/>
            <w:noProof/>
            <w:sz w:val="22"/>
            <w:szCs w:val="22"/>
            <w:lang w:eastAsia="en-GB" w:bidi="ar-SA"/>
          </w:rPr>
          <w:tab/>
        </w:r>
        <w:r w:rsidR="00F8790E" w:rsidRPr="001F6F4F">
          <w:rPr>
            <w:rStyle w:val="Hyperlink"/>
            <w:noProof/>
          </w:rPr>
          <w:t>Host organism</w:t>
        </w:r>
        <w:r w:rsidR="00F8790E">
          <w:rPr>
            <w:noProof/>
            <w:webHidden/>
          </w:rPr>
          <w:tab/>
        </w:r>
        <w:r w:rsidR="00F8790E">
          <w:rPr>
            <w:noProof/>
            <w:webHidden/>
          </w:rPr>
          <w:fldChar w:fldCharType="begin"/>
        </w:r>
        <w:r w:rsidR="00F8790E">
          <w:rPr>
            <w:noProof/>
            <w:webHidden/>
          </w:rPr>
          <w:instrText xml:space="preserve"> PAGEREF _Toc87259305 \h </w:instrText>
        </w:r>
        <w:r w:rsidR="00F8790E">
          <w:rPr>
            <w:noProof/>
            <w:webHidden/>
          </w:rPr>
        </w:r>
        <w:r w:rsidR="00F8790E">
          <w:rPr>
            <w:noProof/>
            <w:webHidden/>
          </w:rPr>
          <w:fldChar w:fldCharType="separate"/>
        </w:r>
        <w:r w:rsidR="00F8790E">
          <w:rPr>
            <w:noProof/>
            <w:webHidden/>
          </w:rPr>
          <w:t>7</w:t>
        </w:r>
        <w:r w:rsidR="00F8790E">
          <w:rPr>
            <w:noProof/>
            <w:webHidden/>
          </w:rPr>
          <w:fldChar w:fldCharType="end"/>
        </w:r>
      </w:hyperlink>
    </w:p>
    <w:p w14:paraId="16269143" w14:textId="2A658DB1"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6" w:history="1">
        <w:r w:rsidR="00F8790E" w:rsidRPr="001F6F4F">
          <w:rPr>
            <w:rStyle w:val="Hyperlink"/>
            <w:noProof/>
          </w:rPr>
          <w:t>3.1.2</w:t>
        </w:r>
        <w:r w:rsidR="00F8790E">
          <w:rPr>
            <w:rFonts w:eastAsiaTheme="minorEastAsia" w:cstheme="minorBidi"/>
            <w:i w:val="0"/>
            <w:iCs w:val="0"/>
            <w:noProof/>
            <w:sz w:val="22"/>
            <w:szCs w:val="22"/>
            <w:lang w:eastAsia="en-GB" w:bidi="ar-SA"/>
          </w:rPr>
          <w:tab/>
        </w:r>
        <w:r w:rsidR="00F8790E" w:rsidRPr="001F6F4F">
          <w:rPr>
            <w:rStyle w:val="Hyperlink"/>
            <w:noProof/>
          </w:rPr>
          <w:t>Gene donor organisms</w:t>
        </w:r>
        <w:r w:rsidR="00F8790E">
          <w:rPr>
            <w:noProof/>
            <w:webHidden/>
          </w:rPr>
          <w:tab/>
        </w:r>
        <w:r w:rsidR="00F8790E">
          <w:rPr>
            <w:noProof/>
            <w:webHidden/>
          </w:rPr>
          <w:fldChar w:fldCharType="begin"/>
        </w:r>
        <w:r w:rsidR="00F8790E">
          <w:rPr>
            <w:noProof/>
            <w:webHidden/>
          </w:rPr>
          <w:instrText xml:space="preserve"> PAGEREF _Toc87259306 \h </w:instrText>
        </w:r>
        <w:r w:rsidR="00F8790E">
          <w:rPr>
            <w:noProof/>
            <w:webHidden/>
          </w:rPr>
        </w:r>
        <w:r w:rsidR="00F8790E">
          <w:rPr>
            <w:noProof/>
            <w:webHidden/>
          </w:rPr>
          <w:fldChar w:fldCharType="separate"/>
        </w:r>
        <w:r w:rsidR="00F8790E">
          <w:rPr>
            <w:noProof/>
            <w:webHidden/>
          </w:rPr>
          <w:t>8</w:t>
        </w:r>
        <w:r w:rsidR="00F8790E">
          <w:rPr>
            <w:noProof/>
            <w:webHidden/>
          </w:rPr>
          <w:fldChar w:fldCharType="end"/>
        </w:r>
      </w:hyperlink>
    </w:p>
    <w:p w14:paraId="609F6BB7" w14:textId="796CF939"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307" w:history="1">
        <w:r w:rsidR="00F8790E" w:rsidRPr="001F6F4F">
          <w:rPr>
            <w:rStyle w:val="Hyperlink"/>
            <w:noProof/>
          </w:rPr>
          <w:t>3.2</w:t>
        </w:r>
        <w:r w:rsidR="00F8790E">
          <w:rPr>
            <w:rFonts w:eastAsiaTheme="minorEastAsia" w:cstheme="minorBidi"/>
            <w:smallCaps w:val="0"/>
            <w:noProof/>
            <w:sz w:val="22"/>
            <w:szCs w:val="22"/>
            <w:lang w:eastAsia="en-GB" w:bidi="ar-SA"/>
          </w:rPr>
          <w:tab/>
        </w:r>
        <w:r w:rsidR="00F8790E" w:rsidRPr="001F6F4F">
          <w:rPr>
            <w:rStyle w:val="Hyperlink"/>
            <w:noProof/>
          </w:rPr>
          <w:t>Characterisation of the genetic modification(s)</w:t>
        </w:r>
        <w:r w:rsidR="00F8790E">
          <w:rPr>
            <w:noProof/>
            <w:webHidden/>
          </w:rPr>
          <w:tab/>
        </w:r>
        <w:r w:rsidR="00F8790E">
          <w:rPr>
            <w:noProof/>
            <w:webHidden/>
          </w:rPr>
          <w:fldChar w:fldCharType="begin"/>
        </w:r>
        <w:r w:rsidR="00F8790E">
          <w:rPr>
            <w:noProof/>
            <w:webHidden/>
          </w:rPr>
          <w:instrText xml:space="preserve"> PAGEREF _Toc87259307 \h </w:instrText>
        </w:r>
        <w:r w:rsidR="00F8790E">
          <w:rPr>
            <w:noProof/>
            <w:webHidden/>
          </w:rPr>
        </w:r>
        <w:r w:rsidR="00F8790E">
          <w:rPr>
            <w:noProof/>
            <w:webHidden/>
          </w:rPr>
          <w:fldChar w:fldCharType="separate"/>
        </w:r>
        <w:r w:rsidR="00F8790E">
          <w:rPr>
            <w:noProof/>
            <w:webHidden/>
          </w:rPr>
          <w:t>8</w:t>
        </w:r>
        <w:r w:rsidR="00F8790E">
          <w:rPr>
            <w:noProof/>
            <w:webHidden/>
          </w:rPr>
          <w:fldChar w:fldCharType="end"/>
        </w:r>
      </w:hyperlink>
    </w:p>
    <w:p w14:paraId="5EF4240B" w14:textId="4BB95B14"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8" w:history="1">
        <w:r w:rsidR="00F8790E" w:rsidRPr="001F6F4F">
          <w:rPr>
            <w:rStyle w:val="Hyperlink"/>
            <w:noProof/>
          </w:rPr>
          <w:t>3.2.1</w:t>
        </w:r>
        <w:r w:rsidR="00F8790E">
          <w:rPr>
            <w:rFonts w:eastAsiaTheme="minorEastAsia" w:cstheme="minorBidi"/>
            <w:i w:val="0"/>
            <w:iCs w:val="0"/>
            <w:noProof/>
            <w:sz w:val="22"/>
            <w:szCs w:val="22"/>
            <w:lang w:eastAsia="en-GB" w:bidi="ar-SA"/>
          </w:rPr>
          <w:tab/>
        </w:r>
        <w:r w:rsidR="00F8790E" w:rsidRPr="001F6F4F">
          <w:rPr>
            <w:rStyle w:val="Hyperlink"/>
            <w:noProof/>
          </w:rPr>
          <w:t>Description of the DNA to be introduced and method of transformation</w:t>
        </w:r>
        <w:r w:rsidR="00F8790E">
          <w:rPr>
            <w:noProof/>
            <w:webHidden/>
          </w:rPr>
          <w:tab/>
        </w:r>
        <w:r w:rsidR="00F8790E">
          <w:rPr>
            <w:noProof/>
            <w:webHidden/>
          </w:rPr>
          <w:fldChar w:fldCharType="begin"/>
        </w:r>
        <w:r w:rsidR="00F8790E">
          <w:rPr>
            <w:noProof/>
            <w:webHidden/>
          </w:rPr>
          <w:instrText xml:space="preserve"> PAGEREF _Toc87259308 \h </w:instrText>
        </w:r>
        <w:r w:rsidR="00F8790E">
          <w:rPr>
            <w:noProof/>
            <w:webHidden/>
          </w:rPr>
        </w:r>
        <w:r w:rsidR="00F8790E">
          <w:rPr>
            <w:noProof/>
            <w:webHidden/>
          </w:rPr>
          <w:fldChar w:fldCharType="separate"/>
        </w:r>
        <w:r w:rsidR="00F8790E">
          <w:rPr>
            <w:noProof/>
            <w:webHidden/>
          </w:rPr>
          <w:t>8</w:t>
        </w:r>
        <w:r w:rsidR="00F8790E">
          <w:rPr>
            <w:noProof/>
            <w:webHidden/>
          </w:rPr>
          <w:fldChar w:fldCharType="end"/>
        </w:r>
      </w:hyperlink>
    </w:p>
    <w:p w14:paraId="5717AEA9" w14:textId="430CB2FC"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09" w:history="1">
        <w:r w:rsidR="00F8790E" w:rsidRPr="001F6F4F">
          <w:rPr>
            <w:rStyle w:val="Hyperlink"/>
            <w:noProof/>
          </w:rPr>
          <w:t>3.2.2</w:t>
        </w:r>
        <w:r w:rsidR="00F8790E">
          <w:rPr>
            <w:rFonts w:eastAsiaTheme="minorEastAsia" w:cstheme="minorBidi"/>
            <w:i w:val="0"/>
            <w:iCs w:val="0"/>
            <w:noProof/>
            <w:sz w:val="22"/>
            <w:szCs w:val="22"/>
            <w:lang w:eastAsia="en-GB" w:bidi="ar-SA"/>
          </w:rPr>
          <w:tab/>
        </w:r>
        <w:r w:rsidR="00F8790E" w:rsidRPr="001F6F4F">
          <w:rPr>
            <w:rStyle w:val="Hyperlink"/>
            <w:noProof/>
          </w:rPr>
          <w:t>Characterisation of inserted DNA</w:t>
        </w:r>
        <w:r w:rsidR="00F8790E">
          <w:rPr>
            <w:noProof/>
            <w:webHidden/>
          </w:rPr>
          <w:tab/>
        </w:r>
        <w:r w:rsidR="00F8790E">
          <w:rPr>
            <w:noProof/>
            <w:webHidden/>
          </w:rPr>
          <w:fldChar w:fldCharType="begin"/>
        </w:r>
        <w:r w:rsidR="00F8790E">
          <w:rPr>
            <w:noProof/>
            <w:webHidden/>
          </w:rPr>
          <w:instrText xml:space="preserve"> PAGEREF _Toc87259309 \h </w:instrText>
        </w:r>
        <w:r w:rsidR="00F8790E">
          <w:rPr>
            <w:noProof/>
            <w:webHidden/>
          </w:rPr>
        </w:r>
        <w:r w:rsidR="00F8790E">
          <w:rPr>
            <w:noProof/>
            <w:webHidden/>
          </w:rPr>
          <w:fldChar w:fldCharType="separate"/>
        </w:r>
        <w:r w:rsidR="00F8790E">
          <w:rPr>
            <w:noProof/>
            <w:webHidden/>
          </w:rPr>
          <w:t>8</w:t>
        </w:r>
        <w:r w:rsidR="00F8790E">
          <w:rPr>
            <w:noProof/>
            <w:webHidden/>
          </w:rPr>
          <w:fldChar w:fldCharType="end"/>
        </w:r>
      </w:hyperlink>
    </w:p>
    <w:p w14:paraId="42945C1E" w14:textId="52129B64"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0" w:history="1">
        <w:r w:rsidR="00F8790E" w:rsidRPr="001F6F4F">
          <w:rPr>
            <w:rStyle w:val="Hyperlink"/>
            <w:noProof/>
          </w:rPr>
          <w:t>3.2.3</w:t>
        </w:r>
        <w:r w:rsidR="00F8790E">
          <w:rPr>
            <w:rFonts w:eastAsiaTheme="minorEastAsia" w:cstheme="minorBidi"/>
            <w:i w:val="0"/>
            <w:iCs w:val="0"/>
            <w:noProof/>
            <w:sz w:val="22"/>
            <w:szCs w:val="22"/>
            <w:lang w:eastAsia="en-GB" w:bidi="ar-SA"/>
          </w:rPr>
          <w:tab/>
        </w:r>
        <w:r w:rsidR="00F8790E" w:rsidRPr="001F6F4F">
          <w:rPr>
            <w:rStyle w:val="Hyperlink"/>
            <w:noProof/>
          </w:rPr>
          <w:t>Genetic stability of the inserted gene</w:t>
        </w:r>
        <w:r w:rsidR="00F8790E">
          <w:rPr>
            <w:noProof/>
            <w:webHidden/>
          </w:rPr>
          <w:tab/>
        </w:r>
        <w:r w:rsidR="00F8790E">
          <w:rPr>
            <w:noProof/>
            <w:webHidden/>
          </w:rPr>
          <w:fldChar w:fldCharType="begin"/>
        </w:r>
        <w:r w:rsidR="00F8790E">
          <w:rPr>
            <w:noProof/>
            <w:webHidden/>
          </w:rPr>
          <w:instrText xml:space="preserve"> PAGEREF _Toc87259310 \h </w:instrText>
        </w:r>
        <w:r w:rsidR="00F8790E">
          <w:rPr>
            <w:noProof/>
            <w:webHidden/>
          </w:rPr>
        </w:r>
        <w:r w:rsidR="00F8790E">
          <w:rPr>
            <w:noProof/>
            <w:webHidden/>
          </w:rPr>
          <w:fldChar w:fldCharType="separate"/>
        </w:r>
        <w:r w:rsidR="00F8790E">
          <w:rPr>
            <w:noProof/>
            <w:webHidden/>
          </w:rPr>
          <w:t>9</w:t>
        </w:r>
        <w:r w:rsidR="00F8790E">
          <w:rPr>
            <w:noProof/>
            <w:webHidden/>
          </w:rPr>
          <w:fldChar w:fldCharType="end"/>
        </w:r>
      </w:hyperlink>
    </w:p>
    <w:p w14:paraId="509EB2C1" w14:textId="2FD2B2FE"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311" w:history="1">
        <w:r w:rsidR="00F8790E" w:rsidRPr="001F6F4F">
          <w:rPr>
            <w:rStyle w:val="Hyperlink"/>
            <w:noProof/>
          </w:rPr>
          <w:t>3.3</w:t>
        </w:r>
        <w:r w:rsidR="00F8790E">
          <w:rPr>
            <w:rFonts w:eastAsiaTheme="minorEastAsia" w:cstheme="minorBidi"/>
            <w:smallCaps w:val="0"/>
            <w:noProof/>
            <w:sz w:val="22"/>
            <w:szCs w:val="22"/>
            <w:lang w:eastAsia="en-GB" w:bidi="ar-SA"/>
          </w:rPr>
          <w:tab/>
        </w:r>
        <w:r w:rsidR="00F8790E" w:rsidRPr="001F6F4F">
          <w:rPr>
            <w:rStyle w:val="Hyperlink"/>
            <w:noProof/>
          </w:rPr>
          <w:t>Safety of maltogenic alpha amylase</w:t>
        </w:r>
        <w:r w:rsidR="00F8790E">
          <w:rPr>
            <w:noProof/>
            <w:webHidden/>
          </w:rPr>
          <w:tab/>
        </w:r>
        <w:r w:rsidR="00F8790E">
          <w:rPr>
            <w:noProof/>
            <w:webHidden/>
          </w:rPr>
          <w:fldChar w:fldCharType="begin"/>
        </w:r>
        <w:r w:rsidR="00F8790E">
          <w:rPr>
            <w:noProof/>
            <w:webHidden/>
          </w:rPr>
          <w:instrText xml:space="preserve"> PAGEREF _Toc87259311 \h </w:instrText>
        </w:r>
        <w:r w:rsidR="00F8790E">
          <w:rPr>
            <w:noProof/>
            <w:webHidden/>
          </w:rPr>
        </w:r>
        <w:r w:rsidR="00F8790E">
          <w:rPr>
            <w:noProof/>
            <w:webHidden/>
          </w:rPr>
          <w:fldChar w:fldCharType="separate"/>
        </w:r>
        <w:r w:rsidR="00F8790E">
          <w:rPr>
            <w:noProof/>
            <w:webHidden/>
          </w:rPr>
          <w:t>9</w:t>
        </w:r>
        <w:r w:rsidR="00F8790E">
          <w:rPr>
            <w:noProof/>
            <w:webHidden/>
          </w:rPr>
          <w:fldChar w:fldCharType="end"/>
        </w:r>
      </w:hyperlink>
    </w:p>
    <w:p w14:paraId="733C775E" w14:textId="7C608B64"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2" w:history="1">
        <w:r w:rsidR="00F8790E" w:rsidRPr="001F6F4F">
          <w:rPr>
            <w:rStyle w:val="Hyperlink"/>
            <w:noProof/>
          </w:rPr>
          <w:t>3.3.1</w:t>
        </w:r>
        <w:r w:rsidR="00F8790E">
          <w:rPr>
            <w:rFonts w:eastAsiaTheme="minorEastAsia" w:cstheme="minorBidi"/>
            <w:i w:val="0"/>
            <w:iCs w:val="0"/>
            <w:noProof/>
            <w:sz w:val="22"/>
            <w:szCs w:val="22"/>
            <w:lang w:eastAsia="en-GB" w:bidi="ar-SA"/>
          </w:rPr>
          <w:tab/>
        </w:r>
        <w:r w:rsidR="00F8790E" w:rsidRPr="001F6F4F">
          <w:rPr>
            <w:rStyle w:val="Hyperlink"/>
            <w:noProof/>
          </w:rPr>
          <w:t>History of safe use</w:t>
        </w:r>
        <w:r w:rsidR="00F8790E">
          <w:rPr>
            <w:noProof/>
            <w:webHidden/>
          </w:rPr>
          <w:tab/>
        </w:r>
        <w:r w:rsidR="00F8790E">
          <w:rPr>
            <w:noProof/>
            <w:webHidden/>
          </w:rPr>
          <w:fldChar w:fldCharType="begin"/>
        </w:r>
        <w:r w:rsidR="00F8790E">
          <w:rPr>
            <w:noProof/>
            <w:webHidden/>
          </w:rPr>
          <w:instrText xml:space="preserve"> PAGEREF _Toc87259312 \h </w:instrText>
        </w:r>
        <w:r w:rsidR="00F8790E">
          <w:rPr>
            <w:noProof/>
            <w:webHidden/>
          </w:rPr>
        </w:r>
        <w:r w:rsidR="00F8790E">
          <w:rPr>
            <w:noProof/>
            <w:webHidden/>
          </w:rPr>
          <w:fldChar w:fldCharType="separate"/>
        </w:r>
        <w:r w:rsidR="00F8790E">
          <w:rPr>
            <w:noProof/>
            <w:webHidden/>
          </w:rPr>
          <w:t>9</w:t>
        </w:r>
        <w:r w:rsidR="00F8790E">
          <w:rPr>
            <w:noProof/>
            <w:webHidden/>
          </w:rPr>
          <w:fldChar w:fldCharType="end"/>
        </w:r>
      </w:hyperlink>
    </w:p>
    <w:p w14:paraId="71BC4882" w14:textId="3BBA2C34"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3" w:history="1">
        <w:r w:rsidR="00F8790E" w:rsidRPr="001F6F4F">
          <w:rPr>
            <w:rStyle w:val="Hyperlink"/>
            <w:noProof/>
          </w:rPr>
          <w:t>3.3.2</w:t>
        </w:r>
        <w:r w:rsidR="00F8790E">
          <w:rPr>
            <w:rFonts w:eastAsiaTheme="minorEastAsia" w:cstheme="minorBidi"/>
            <w:i w:val="0"/>
            <w:iCs w:val="0"/>
            <w:noProof/>
            <w:sz w:val="22"/>
            <w:szCs w:val="22"/>
            <w:lang w:eastAsia="en-GB" w:bidi="ar-SA"/>
          </w:rPr>
          <w:tab/>
        </w:r>
        <w:r w:rsidR="00F8790E" w:rsidRPr="001F6F4F">
          <w:rPr>
            <w:rStyle w:val="Hyperlink"/>
            <w:noProof/>
          </w:rPr>
          <w:t>Bioinformatics concerning potential for toxicity</w:t>
        </w:r>
        <w:r w:rsidR="00F8790E">
          <w:rPr>
            <w:noProof/>
            <w:webHidden/>
          </w:rPr>
          <w:tab/>
        </w:r>
        <w:r w:rsidR="00F8790E">
          <w:rPr>
            <w:noProof/>
            <w:webHidden/>
          </w:rPr>
          <w:fldChar w:fldCharType="begin"/>
        </w:r>
        <w:r w:rsidR="00F8790E">
          <w:rPr>
            <w:noProof/>
            <w:webHidden/>
          </w:rPr>
          <w:instrText xml:space="preserve"> PAGEREF _Toc87259313 \h </w:instrText>
        </w:r>
        <w:r w:rsidR="00F8790E">
          <w:rPr>
            <w:noProof/>
            <w:webHidden/>
          </w:rPr>
        </w:r>
        <w:r w:rsidR="00F8790E">
          <w:rPr>
            <w:noProof/>
            <w:webHidden/>
          </w:rPr>
          <w:fldChar w:fldCharType="separate"/>
        </w:r>
        <w:r w:rsidR="00F8790E">
          <w:rPr>
            <w:noProof/>
            <w:webHidden/>
          </w:rPr>
          <w:t>9</w:t>
        </w:r>
        <w:r w:rsidR="00F8790E">
          <w:rPr>
            <w:noProof/>
            <w:webHidden/>
          </w:rPr>
          <w:fldChar w:fldCharType="end"/>
        </w:r>
      </w:hyperlink>
    </w:p>
    <w:p w14:paraId="5F368AB3" w14:textId="08828310"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4" w:history="1">
        <w:r w:rsidR="00F8790E" w:rsidRPr="001F6F4F">
          <w:rPr>
            <w:rStyle w:val="Hyperlink"/>
            <w:noProof/>
          </w:rPr>
          <w:t>3.3.3</w:t>
        </w:r>
        <w:r w:rsidR="00F8790E">
          <w:rPr>
            <w:rFonts w:eastAsiaTheme="minorEastAsia" w:cstheme="minorBidi"/>
            <w:i w:val="0"/>
            <w:iCs w:val="0"/>
            <w:noProof/>
            <w:sz w:val="22"/>
            <w:szCs w:val="22"/>
            <w:lang w:eastAsia="en-GB" w:bidi="ar-SA"/>
          </w:rPr>
          <w:tab/>
        </w:r>
        <w:r w:rsidR="00F8790E" w:rsidRPr="001F6F4F">
          <w:rPr>
            <w:rStyle w:val="Hyperlink"/>
            <w:noProof/>
          </w:rPr>
          <w:t>Evaluation of toxicity studies</w:t>
        </w:r>
        <w:r w:rsidR="00F8790E">
          <w:rPr>
            <w:noProof/>
            <w:webHidden/>
          </w:rPr>
          <w:tab/>
        </w:r>
        <w:r w:rsidR="00F8790E">
          <w:rPr>
            <w:noProof/>
            <w:webHidden/>
          </w:rPr>
          <w:fldChar w:fldCharType="begin"/>
        </w:r>
        <w:r w:rsidR="00F8790E">
          <w:rPr>
            <w:noProof/>
            <w:webHidden/>
          </w:rPr>
          <w:instrText xml:space="preserve"> PAGEREF _Toc87259314 \h </w:instrText>
        </w:r>
        <w:r w:rsidR="00F8790E">
          <w:rPr>
            <w:noProof/>
            <w:webHidden/>
          </w:rPr>
        </w:r>
        <w:r w:rsidR="00F8790E">
          <w:rPr>
            <w:noProof/>
            <w:webHidden/>
          </w:rPr>
          <w:fldChar w:fldCharType="separate"/>
        </w:r>
        <w:r w:rsidR="00F8790E">
          <w:rPr>
            <w:noProof/>
            <w:webHidden/>
          </w:rPr>
          <w:t>9</w:t>
        </w:r>
        <w:r w:rsidR="00F8790E">
          <w:rPr>
            <w:noProof/>
            <w:webHidden/>
          </w:rPr>
          <w:fldChar w:fldCharType="end"/>
        </w:r>
      </w:hyperlink>
    </w:p>
    <w:p w14:paraId="4A73EF63" w14:textId="65E77C8B"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5" w:history="1">
        <w:r w:rsidR="00F8790E" w:rsidRPr="001F6F4F">
          <w:rPr>
            <w:rStyle w:val="Hyperlink"/>
            <w:noProof/>
          </w:rPr>
          <w:t>3.3.4</w:t>
        </w:r>
        <w:r w:rsidR="00F8790E">
          <w:rPr>
            <w:rFonts w:eastAsiaTheme="minorEastAsia" w:cstheme="minorBidi"/>
            <w:i w:val="0"/>
            <w:iCs w:val="0"/>
            <w:noProof/>
            <w:sz w:val="22"/>
            <w:szCs w:val="22"/>
            <w:lang w:eastAsia="en-GB" w:bidi="ar-SA"/>
          </w:rPr>
          <w:tab/>
        </w:r>
        <w:r w:rsidR="00F8790E" w:rsidRPr="001F6F4F">
          <w:rPr>
            <w:rStyle w:val="Hyperlink"/>
            <w:noProof/>
          </w:rPr>
          <w:t>Potential for toxicity arising from manufacture</w:t>
        </w:r>
        <w:r w:rsidR="00F8790E">
          <w:rPr>
            <w:noProof/>
            <w:webHidden/>
          </w:rPr>
          <w:tab/>
        </w:r>
        <w:r w:rsidR="00F8790E">
          <w:rPr>
            <w:noProof/>
            <w:webHidden/>
          </w:rPr>
          <w:fldChar w:fldCharType="begin"/>
        </w:r>
        <w:r w:rsidR="00F8790E">
          <w:rPr>
            <w:noProof/>
            <w:webHidden/>
          </w:rPr>
          <w:instrText xml:space="preserve"> PAGEREF _Toc87259315 \h </w:instrText>
        </w:r>
        <w:r w:rsidR="00F8790E">
          <w:rPr>
            <w:noProof/>
            <w:webHidden/>
          </w:rPr>
        </w:r>
        <w:r w:rsidR="00F8790E">
          <w:rPr>
            <w:noProof/>
            <w:webHidden/>
          </w:rPr>
          <w:fldChar w:fldCharType="separate"/>
        </w:r>
        <w:r w:rsidR="00F8790E">
          <w:rPr>
            <w:noProof/>
            <w:webHidden/>
          </w:rPr>
          <w:t>11</w:t>
        </w:r>
        <w:r w:rsidR="00F8790E">
          <w:rPr>
            <w:noProof/>
            <w:webHidden/>
          </w:rPr>
          <w:fldChar w:fldCharType="end"/>
        </w:r>
      </w:hyperlink>
    </w:p>
    <w:p w14:paraId="5CB37431" w14:textId="7DC5541E"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6" w:history="1">
        <w:r w:rsidR="00F8790E" w:rsidRPr="001F6F4F">
          <w:rPr>
            <w:rStyle w:val="Hyperlink"/>
            <w:noProof/>
          </w:rPr>
          <w:t>3.3.5</w:t>
        </w:r>
        <w:r w:rsidR="00F8790E">
          <w:rPr>
            <w:rFonts w:eastAsiaTheme="minorEastAsia" w:cstheme="minorBidi"/>
            <w:i w:val="0"/>
            <w:iCs w:val="0"/>
            <w:noProof/>
            <w:sz w:val="22"/>
            <w:szCs w:val="22"/>
            <w:lang w:eastAsia="en-GB" w:bidi="ar-SA"/>
          </w:rPr>
          <w:tab/>
        </w:r>
        <w:r w:rsidR="00F8790E" w:rsidRPr="001F6F4F">
          <w:rPr>
            <w:rStyle w:val="Hyperlink"/>
            <w:noProof/>
          </w:rPr>
          <w:t>Potential for allergenicity</w:t>
        </w:r>
        <w:r w:rsidR="00F8790E">
          <w:rPr>
            <w:noProof/>
            <w:webHidden/>
          </w:rPr>
          <w:tab/>
        </w:r>
        <w:r w:rsidR="00F8790E">
          <w:rPr>
            <w:noProof/>
            <w:webHidden/>
          </w:rPr>
          <w:fldChar w:fldCharType="begin"/>
        </w:r>
        <w:r w:rsidR="00F8790E">
          <w:rPr>
            <w:noProof/>
            <w:webHidden/>
          </w:rPr>
          <w:instrText xml:space="preserve"> PAGEREF _Toc87259316 \h </w:instrText>
        </w:r>
        <w:r w:rsidR="00F8790E">
          <w:rPr>
            <w:noProof/>
            <w:webHidden/>
          </w:rPr>
        </w:r>
        <w:r w:rsidR="00F8790E">
          <w:rPr>
            <w:noProof/>
            <w:webHidden/>
          </w:rPr>
          <w:fldChar w:fldCharType="separate"/>
        </w:r>
        <w:r w:rsidR="00F8790E">
          <w:rPr>
            <w:noProof/>
            <w:webHidden/>
          </w:rPr>
          <w:t>11</w:t>
        </w:r>
        <w:r w:rsidR="00F8790E">
          <w:rPr>
            <w:noProof/>
            <w:webHidden/>
          </w:rPr>
          <w:fldChar w:fldCharType="end"/>
        </w:r>
      </w:hyperlink>
    </w:p>
    <w:p w14:paraId="6B7D63B9" w14:textId="3389B004" w:rsidR="00F8790E" w:rsidRDefault="00380A0B">
      <w:pPr>
        <w:pStyle w:val="TOC3"/>
        <w:tabs>
          <w:tab w:val="left" w:pos="1100"/>
          <w:tab w:val="right" w:leader="dot" w:pos="9060"/>
        </w:tabs>
        <w:rPr>
          <w:rFonts w:eastAsiaTheme="minorEastAsia" w:cstheme="minorBidi"/>
          <w:i w:val="0"/>
          <w:iCs w:val="0"/>
          <w:noProof/>
          <w:sz w:val="22"/>
          <w:szCs w:val="22"/>
          <w:lang w:eastAsia="en-GB" w:bidi="ar-SA"/>
        </w:rPr>
      </w:pPr>
      <w:hyperlink w:anchor="_Toc87259317" w:history="1">
        <w:r w:rsidR="00F8790E" w:rsidRPr="001F6F4F">
          <w:rPr>
            <w:rStyle w:val="Hyperlink"/>
            <w:noProof/>
          </w:rPr>
          <w:t>3.3.6</w:t>
        </w:r>
        <w:r w:rsidR="00F8790E">
          <w:rPr>
            <w:rFonts w:eastAsiaTheme="minorEastAsia" w:cstheme="minorBidi"/>
            <w:i w:val="0"/>
            <w:iCs w:val="0"/>
            <w:noProof/>
            <w:sz w:val="22"/>
            <w:szCs w:val="22"/>
            <w:lang w:eastAsia="en-GB" w:bidi="ar-SA"/>
          </w:rPr>
          <w:tab/>
        </w:r>
        <w:r w:rsidR="00F8790E" w:rsidRPr="001F6F4F">
          <w:rPr>
            <w:rStyle w:val="Hyperlink"/>
            <w:noProof/>
          </w:rPr>
          <w:t>Assessments by other regulatory agencies</w:t>
        </w:r>
        <w:r w:rsidR="00F8790E">
          <w:rPr>
            <w:noProof/>
            <w:webHidden/>
          </w:rPr>
          <w:tab/>
        </w:r>
        <w:r w:rsidR="00F8790E">
          <w:rPr>
            <w:noProof/>
            <w:webHidden/>
          </w:rPr>
          <w:fldChar w:fldCharType="begin"/>
        </w:r>
        <w:r w:rsidR="00F8790E">
          <w:rPr>
            <w:noProof/>
            <w:webHidden/>
          </w:rPr>
          <w:instrText xml:space="preserve"> PAGEREF _Toc87259317 \h </w:instrText>
        </w:r>
        <w:r w:rsidR="00F8790E">
          <w:rPr>
            <w:noProof/>
            <w:webHidden/>
          </w:rPr>
        </w:r>
        <w:r w:rsidR="00F8790E">
          <w:rPr>
            <w:noProof/>
            <w:webHidden/>
          </w:rPr>
          <w:fldChar w:fldCharType="separate"/>
        </w:r>
        <w:r w:rsidR="00F8790E">
          <w:rPr>
            <w:noProof/>
            <w:webHidden/>
          </w:rPr>
          <w:t>12</w:t>
        </w:r>
        <w:r w:rsidR="00F8790E">
          <w:rPr>
            <w:noProof/>
            <w:webHidden/>
          </w:rPr>
          <w:fldChar w:fldCharType="end"/>
        </w:r>
      </w:hyperlink>
    </w:p>
    <w:p w14:paraId="4467ADF0" w14:textId="4B4ACBC1" w:rsidR="00F8790E" w:rsidRDefault="00380A0B">
      <w:pPr>
        <w:pStyle w:val="TOC2"/>
        <w:tabs>
          <w:tab w:val="left" w:pos="880"/>
          <w:tab w:val="right" w:leader="dot" w:pos="9060"/>
        </w:tabs>
        <w:rPr>
          <w:rFonts w:eastAsiaTheme="minorEastAsia" w:cstheme="minorBidi"/>
          <w:smallCaps w:val="0"/>
          <w:noProof/>
          <w:sz w:val="22"/>
          <w:szCs w:val="22"/>
          <w:lang w:eastAsia="en-GB" w:bidi="ar-SA"/>
        </w:rPr>
      </w:pPr>
      <w:hyperlink w:anchor="_Toc87259318" w:history="1">
        <w:r w:rsidR="00F8790E" w:rsidRPr="001F6F4F">
          <w:rPr>
            <w:rStyle w:val="Hyperlink"/>
            <w:noProof/>
          </w:rPr>
          <w:t>3.4</w:t>
        </w:r>
        <w:r w:rsidR="00F8790E">
          <w:rPr>
            <w:rFonts w:eastAsiaTheme="minorEastAsia" w:cstheme="minorBidi"/>
            <w:smallCaps w:val="0"/>
            <w:noProof/>
            <w:sz w:val="22"/>
            <w:szCs w:val="22"/>
            <w:lang w:eastAsia="en-GB" w:bidi="ar-SA"/>
          </w:rPr>
          <w:tab/>
        </w:r>
        <w:r w:rsidR="00F8790E" w:rsidRPr="001F6F4F">
          <w:rPr>
            <w:rStyle w:val="Hyperlink"/>
            <w:noProof/>
          </w:rPr>
          <w:t>Dietary exposure assessment</w:t>
        </w:r>
        <w:r w:rsidR="00F8790E">
          <w:rPr>
            <w:noProof/>
            <w:webHidden/>
          </w:rPr>
          <w:tab/>
        </w:r>
        <w:r w:rsidR="00F8790E">
          <w:rPr>
            <w:noProof/>
            <w:webHidden/>
          </w:rPr>
          <w:fldChar w:fldCharType="begin"/>
        </w:r>
        <w:r w:rsidR="00F8790E">
          <w:rPr>
            <w:noProof/>
            <w:webHidden/>
          </w:rPr>
          <w:instrText xml:space="preserve"> PAGEREF _Toc87259318 \h </w:instrText>
        </w:r>
        <w:r w:rsidR="00F8790E">
          <w:rPr>
            <w:noProof/>
            <w:webHidden/>
          </w:rPr>
        </w:r>
        <w:r w:rsidR="00F8790E">
          <w:rPr>
            <w:noProof/>
            <w:webHidden/>
          </w:rPr>
          <w:fldChar w:fldCharType="separate"/>
        </w:r>
        <w:r w:rsidR="00F8790E">
          <w:rPr>
            <w:noProof/>
            <w:webHidden/>
          </w:rPr>
          <w:t>12</w:t>
        </w:r>
        <w:r w:rsidR="00F8790E">
          <w:rPr>
            <w:noProof/>
            <w:webHidden/>
          </w:rPr>
          <w:fldChar w:fldCharType="end"/>
        </w:r>
      </w:hyperlink>
    </w:p>
    <w:p w14:paraId="5888A23C" w14:textId="46C73F16"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319" w:history="1">
        <w:r w:rsidR="00F8790E" w:rsidRPr="001F6F4F">
          <w:rPr>
            <w:rStyle w:val="Hyperlink"/>
            <w:noProof/>
          </w:rPr>
          <w:t xml:space="preserve">4 </w:t>
        </w:r>
        <w:r w:rsidR="00F8790E">
          <w:rPr>
            <w:rFonts w:eastAsiaTheme="minorEastAsia" w:cstheme="minorBidi"/>
            <w:b w:val="0"/>
            <w:bCs w:val="0"/>
            <w:caps w:val="0"/>
            <w:noProof/>
            <w:sz w:val="22"/>
            <w:szCs w:val="22"/>
            <w:lang w:eastAsia="en-GB" w:bidi="ar-SA"/>
          </w:rPr>
          <w:tab/>
        </w:r>
        <w:r w:rsidR="00F8790E" w:rsidRPr="001F6F4F">
          <w:rPr>
            <w:rStyle w:val="Hyperlink"/>
            <w:noProof/>
          </w:rPr>
          <w:t>Discussion</w:t>
        </w:r>
        <w:r w:rsidR="00F8790E">
          <w:rPr>
            <w:noProof/>
            <w:webHidden/>
          </w:rPr>
          <w:tab/>
        </w:r>
        <w:r w:rsidR="00F8790E">
          <w:rPr>
            <w:noProof/>
            <w:webHidden/>
          </w:rPr>
          <w:fldChar w:fldCharType="begin"/>
        </w:r>
        <w:r w:rsidR="00F8790E">
          <w:rPr>
            <w:noProof/>
            <w:webHidden/>
          </w:rPr>
          <w:instrText xml:space="preserve"> PAGEREF _Toc87259319 \h </w:instrText>
        </w:r>
        <w:r w:rsidR="00F8790E">
          <w:rPr>
            <w:noProof/>
            <w:webHidden/>
          </w:rPr>
        </w:r>
        <w:r w:rsidR="00F8790E">
          <w:rPr>
            <w:noProof/>
            <w:webHidden/>
          </w:rPr>
          <w:fldChar w:fldCharType="separate"/>
        </w:r>
        <w:r w:rsidR="00F8790E">
          <w:rPr>
            <w:noProof/>
            <w:webHidden/>
          </w:rPr>
          <w:t>13</w:t>
        </w:r>
        <w:r w:rsidR="00F8790E">
          <w:rPr>
            <w:noProof/>
            <w:webHidden/>
          </w:rPr>
          <w:fldChar w:fldCharType="end"/>
        </w:r>
      </w:hyperlink>
    </w:p>
    <w:p w14:paraId="0CC4ADAB" w14:textId="1D0A2FDD"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320" w:history="1">
        <w:r w:rsidR="00F8790E" w:rsidRPr="001F6F4F">
          <w:rPr>
            <w:rStyle w:val="Hyperlink"/>
            <w:noProof/>
          </w:rPr>
          <w:t xml:space="preserve">5 </w:t>
        </w:r>
        <w:r w:rsidR="00F8790E">
          <w:rPr>
            <w:rFonts w:eastAsiaTheme="minorEastAsia" w:cstheme="minorBidi"/>
            <w:b w:val="0"/>
            <w:bCs w:val="0"/>
            <w:caps w:val="0"/>
            <w:noProof/>
            <w:sz w:val="22"/>
            <w:szCs w:val="22"/>
            <w:lang w:eastAsia="en-GB" w:bidi="ar-SA"/>
          </w:rPr>
          <w:tab/>
        </w:r>
        <w:r w:rsidR="00F8790E" w:rsidRPr="001F6F4F">
          <w:rPr>
            <w:rStyle w:val="Hyperlink"/>
            <w:noProof/>
          </w:rPr>
          <w:t>Conclusion</w:t>
        </w:r>
        <w:r w:rsidR="00F8790E">
          <w:rPr>
            <w:noProof/>
            <w:webHidden/>
          </w:rPr>
          <w:tab/>
        </w:r>
        <w:r w:rsidR="00F8790E">
          <w:rPr>
            <w:noProof/>
            <w:webHidden/>
          </w:rPr>
          <w:fldChar w:fldCharType="begin"/>
        </w:r>
        <w:r w:rsidR="00F8790E">
          <w:rPr>
            <w:noProof/>
            <w:webHidden/>
          </w:rPr>
          <w:instrText xml:space="preserve"> PAGEREF _Toc87259320 \h </w:instrText>
        </w:r>
        <w:r w:rsidR="00F8790E">
          <w:rPr>
            <w:noProof/>
            <w:webHidden/>
          </w:rPr>
        </w:r>
        <w:r w:rsidR="00F8790E">
          <w:rPr>
            <w:noProof/>
            <w:webHidden/>
          </w:rPr>
          <w:fldChar w:fldCharType="separate"/>
        </w:r>
        <w:r w:rsidR="00F8790E">
          <w:rPr>
            <w:noProof/>
            <w:webHidden/>
          </w:rPr>
          <w:t>13</w:t>
        </w:r>
        <w:r w:rsidR="00F8790E">
          <w:rPr>
            <w:noProof/>
            <w:webHidden/>
          </w:rPr>
          <w:fldChar w:fldCharType="end"/>
        </w:r>
      </w:hyperlink>
    </w:p>
    <w:p w14:paraId="704732BD" w14:textId="1E9BC8B3" w:rsidR="00F8790E" w:rsidRDefault="00380A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321" w:history="1">
        <w:r w:rsidR="00F8790E" w:rsidRPr="001F6F4F">
          <w:rPr>
            <w:rStyle w:val="Hyperlink"/>
            <w:noProof/>
          </w:rPr>
          <w:t xml:space="preserve">6 </w:t>
        </w:r>
        <w:r w:rsidR="00F8790E">
          <w:rPr>
            <w:rFonts w:eastAsiaTheme="minorEastAsia" w:cstheme="minorBidi"/>
            <w:b w:val="0"/>
            <w:bCs w:val="0"/>
            <w:caps w:val="0"/>
            <w:noProof/>
            <w:sz w:val="22"/>
            <w:szCs w:val="22"/>
            <w:lang w:eastAsia="en-GB" w:bidi="ar-SA"/>
          </w:rPr>
          <w:tab/>
        </w:r>
        <w:r w:rsidR="00F8790E" w:rsidRPr="001F6F4F">
          <w:rPr>
            <w:rStyle w:val="Hyperlink"/>
            <w:noProof/>
          </w:rPr>
          <w:t>References</w:t>
        </w:r>
        <w:r w:rsidR="00F8790E">
          <w:rPr>
            <w:noProof/>
            <w:webHidden/>
          </w:rPr>
          <w:tab/>
        </w:r>
        <w:r w:rsidR="00F8790E">
          <w:rPr>
            <w:noProof/>
            <w:webHidden/>
          </w:rPr>
          <w:fldChar w:fldCharType="begin"/>
        </w:r>
        <w:r w:rsidR="00F8790E">
          <w:rPr>
            <w:noProof/>
            <w:webHidden/>
          </w:rPr>
          <w:instrText xml:space="preserve"> PAGEREF _Toc87259321 \h </w:instrText>
        </w:r>
        <w:r w:rsidR="00F8790E">
          <w:rPr>
            <w:noProof/>
            <w:webHidden/>
          </w:rPr>
        </w:r>
        <w:r w:rsidR="00F8790E">
          <w:rPr>
            <w:noProof/>
            <w:webHidden/>
          </w:rPr>
          <w:fldChar w:fldCharType="separate"/>
        </w:r>
        <w:r w:rsidR="00F8790E">
          <w:rPr>
            <w:noProof/>
            <w:webHidden/>
          </w:rPr>
          <w:t>13</w:t>
        </w:r>
        <w:r w:rsidR="00F8790E">
          <w:rPr>
            <w:noProof/>
            <w:webHidden/>
          </w:rPr>
          <w:fldChar w:fldCharType="end"/>
        </w:r>
      </w:hyperlink>
    </w:p>
    <w:p w14:paraId="725D72DB" w14:textId="6EE3F587" w:rsidR="00562917" w:rsidRDefault="00326D85" w:rsidP="00051ED9">
      <w:r>
        <w:fldChar w:fldCharType="end"/>
      </w:r>
    </w:p>
    <w:p w14:paraId="060C3446" w14:textId="77777777" w:rsidR="00E066BA" w:rsidRDefault="00E066BA" w:rsidP="00051ED9"/>
    <w:p w14:paraId="1D3E0686" w14:textId="77777777" w:rsidR="00051ED9" w:rsidRDefault="00562917" w:rsidP="00772BDC">
      <w:r w:rsidRPr="00E203C2">
        <w:br w:type="page"/>
      </w:r>
    </w:p>
    <w:p w14:paraId="21111803" w14:textId="77777777" w:rsidR="00887E21" w:rsidRDefault="00887E21" w:rsidP="00887E21">
      <w:pPr>
        <w:pStyle w:val="Heading1"/>
      </w:pPr>
      <w:bookmarkStart w:id="6" w:name="_Toc501699816"/>
      <w:bookmarkStart w:id="7" w:name="_Toc536543984"/>
      <w:bookmarkStart w:id="8" w:name="_Toc536607119"/>
      <w:bookmarkStart w:id="9" w:name="_Toc30154591"/>
      <w:bookmarkStart w:id="10" w:name="_Toc85204754"/>
      <w:bookmarkStart w:id="11" w:name="_Toc85211316"/>
      <w:bookmarkStart w:id="12" w:name="_Toc87259291"/>
      <w:r>
        <w:lastRenderedPageBreak/>
        <w:t xml:space="preserve">1 </w:t>
      </w:r>
      <w:r>
        <w:tab/>
        <w:t>Introduction</w:t>
      </w:r>
      <w:bookmarkEnd w:id="6"/>
      <w:bookmarkEnd w:id="7"/>
      <w:bookmarkEnd w:id="8"/>
      <w:bookmarkEnd w:id="9"/>
      <w:bookmarkEnd w:id="10"/>
      <w:bookmarkEnd w:id="11"/>
      <w:bookmarkEnd w:id="12"/>
    </w:p>
    <w:p w14:paraId="0B91A840" w14:textId="46FD886C" w:rsidR="00887E21" w:rsidRDefault="00887E21" w:rsidP="00887E21">
      <w:r>
        <w:t xml:space="preserve">Advanced Enzyme Technologies Ltd. applied to </w:t>
      </w:r>
      <w:r w:rsidR="00874381">
        <w:t>Food Standards Australia New Zealand (</w:t>
      </w:r>
      <w:r>
        <w:t>FSANZ</w:t>
      </w:r>
      <w:r w:rsidR="00874381">
        <w:t>)</w:t>
      </w:r>
      <w:r>
        <w:t xml:space="preserve"> to </w:t>
      </w:r>
      <w:r w:rsidR="00E555F2">
        <w:t>permit</w:t>
      </w:r>
      <w:r>
        <w:t xml:space="preserve"> </w:t>
      </w:r>
      <w:r w:rsidR="00E96EAD">
        <w:t xml:space="preserve">use </w:t>
      </w:r>
      <w:r w:rsidR="00E555F2">
        <w:t xml:space="preserve">of </w:t>
      </w:r>
      <w:r w:rsidR="00E96EAD">
        <w:t xml:space="preserve">the enzyme maltogenic alpha </w:t>
      </w:r>
      <w:r>
        <w:t xml:space="preserve">amylase (EC 3.2.1.133) </w:t>
      </w:r>
      <w:r w:rsidRPr="00CA52E1">
        <w:t xml:space="preserve">as a processing aid in </w:t>
      </w:r>
      <w:r w:rsidRPr="00D2736B">
        <w:t>in baking, brewing and starch processing</w:t>
      </w:r>
      <w:r w:rsidR="00E96EAD">
        <w:t>. This enzyme</w:t>
      </w:r>
      <w:r>
        <w:t xml:space="preserve"> is </w:t>
      </w:r>
      <w:r w:rsidR="005C2EF1">
        <w:t xml:space="preserve">sourced </w:t>
      </w:r>
      <w:r>
        <w:t xml:space="preserve">from a genetically modified (GM) strain of </w:t>
      </w:r>
      <w:r>
        <w:rPr>
          <w:i/>
        </w:rPr>
        <w:t xml:space="preserve">Escherichia </w:t>
      </w:r>
      <w:r w:rsidR="00CB6844">
        <w:rPr>
          <w:i/>
        </w:rPr>
        <w:t>c</w:t>
      </w:r>
      <w:r>
        <w:rPr>
          <w:i/>
        </w:rPr>
        <w:t>oli</w:t>
      </w:r>
      <w:r w:rsidR="00FB1BB5">
        <w:rPr>
          <w:i/>
        </w:rPr>
        <w:t xml:space="preserve">, </w:t>
      </w:r>
      <w:r w:rsidR="00FB1BB5">
        <w:t xml:space="preserve">with the strain name </w:t>
      </w:r>
      <w:r w:rsidR="00FB1BB5">
        <w:rPr>
          <w:i/>
        </w:rPr>
        <w:t xml:space="preserve">Escherichia coli </w:t>
      </w:r>
      <w:r w:rsidR="00FB1BB5" w:rsidRPr="00FB1BB5">
        <w:t>BLASC</w:t>
      </w:r>
      <w:r w:rsidR="00ED43F6">
        <w:rPr>
          <w:i/>
        </w:rPr>
        <w:t xml:space="preserve"> </w:t>
      </w:r>
      <w:r w:rsidR="00ED43F6" w:rsidRPr="00ED43F6">
        <w:t>(</w:t>
      </w:r>
      <w:r w:rsidR="00ED43F6">
        <w:rPr>
          <w:i/>
        </w:rPr>
        <w:t xml:space="preserve">E. coli </w:t>
      </w:r>
      <w:r w:rsidR="00ED43F6" w:rsidRPr="00ED43F6">
        <w:t>BLASC)</w:t>
      </w:r>
      <w:r>
        <w:rPr>
          <w:i/>
        </w:rPr>
        <w:t xml:space="preserve">, </w:t>
      </w:r>
      <w:r w:rsidRPr="0028261F">
        <w:t xml:space="preserve">containing the </w:t>
      </w:r>
      <w:r w:rsidR="00E96EAD">
        <w:t xml:space="preserve">maltogenic alpha </w:t>
      </w:r>
      <w:r>
        <w:t xml:space="preserve">amylase </w:t>
      </w:r>
      <w:r w:rsidRPr="0028261F">
        <w:t>gene from</w:t>
      </w:r>
      <w:r>
        <w:t xml:space="preserve"> </w:t>
      </w:r>
      <w:r w:rsidRPr="00D2736B">
        <w:rPr>
          <w:i/>
        </w:rPr>
        <w:t>Geobacillus stearothermophilu</w:t>
      </w:r>
      <w:r>
        <w:rPr>
          <w:i/>
        </w:rPr>
        <w:t xml:space="preserve">s. </w:t>
      </w:r>
    </w:p>
    <w:p w14:paraId="6DF04F80" w14:textId="77777777" w:rsidR="00887E21" w:rsidRDefault="00887E21" w:rsidP="00887E21"/>
    <w:p w14:paraId="3726E0CE" w14:textId="4F4688FB" w:rsidR="00887E21" w:rsidRPr="00B659CB" w:rsidRDefault="00887E21" w:rsidP="00887E21">
      <w:r>
        <w:t xml:space="preserve">Currently, Schedule </w:t>
      </w:r>
      <w:r w:rsidRPr="00537681">
        <w:t xml:space="preserve">18 </w:t>
      </w:r>
      <w:r>
        <w:t xml:space="preserve">of the </w:t>
      </w:r>
      <w:r w:rsidRPr="00426F2C">
        <w:t xml:space="preserve">Australia New Zealand Food Standards Code (the Code) </w:t>
      </w:r>
      <w:r w:rsidR="00E555F2">
        <w:t>includes</w:t>
      </w:r>
      <w:r w:rsidR="008A7EE8">
        <w:t xml:space="preserve"> </w:t>
      </w:r>
      <w:r>
        <w:t xml:space="preserve">permission </w:t>
      </w:r>
      <w:r w:rsidR="008A7EE8">
        <w:t xml:space="preserve">for </w:t>
      </w:r>
      <w:r w:rsidR="00A751E1">
        <w:t>two</w:t>
      </w:r>
      <w:r w:rsidR="008A7EE8">
        <w:t xml:space="preserve"> </w:t>
      </w:r>
      <w:r w:rsidRPr="00887E21">
        <w:t>maltogenic α-amylase</w:t>
      </w:r>
      <w:r w:rsidR="00A751E1">
        <w:t>s</w:t>
      </w:r>
      <w:r w:rsidR="00874381">
        <w:t xml:space="preserve"> </w:t>
      </w:r>
      <w:r w:rsidR="005C2EF1">
        <w:t>–</w:t>
      </w:r>
      <w:r w:rsidR="00874381">
        <w:t xml:space="preserve"> </w:t>
      </w:r>
      <w:r w:rsidR="005C2EF1">
        <w:t>o</w:t>
      </w:r>
      <w:r w:rsidR="00A751E1">
        <w:t>ne</w:t>
      </w:r>
      <w:r w:rsidRPr="00887E21">
        <w:t xml:space="preserve"> </w:t>
      </w:r>
      <w:r w:rsidR="007D1AAF">
        <w:t>produced by</w:t>
      </w:r>
      <w:r w:rsidRPr="00887E21">
        <w:t xml:space="preserve"> </w:t>
      </w:r>
      <w:r w:rsidR="00ED43F6">
        <w:t xml:space="preserve">a GM </w:t>
      </w:r>
      <w:r w:rsidRPr="00887E21">
        <w:rPr>
          <w:i/>
        </w:rPr>
        <w:t>Bacillus subtilis</w:t>
      </w:r>
      <w:r w:rsidR="00477F42">
        <w:rPr>
          <w:i/>
        </w:rPr>
        <w:t xml:space="preserve"> </w:t>
      </w:r>
      <w:r w:rsidR="00477F42">
        <w:t xml:space="preserve">containing the maltogenic </w:t>
      </w:r>
      <w:r w:rsidR="00477F42" w:rsidRPr="00887E21">
        <w:t>α-amylase</w:t>
      </w:r>
      <w:r w:rsidR="00477F42" w:rsidRPr="00477F42">
        <w:t xml:space="preserve"> </w:t>
      </w:r>
      <w:r w:rsidR="00477F42">
        <w:t xml:space="preserve">gene from </w:t>
      </w:r>
      <w:r w:rsidR="00477F42" w:rsidRPr="00477F42">
        <w:rPr>
          <w:i/>
        </w:rPr>
        <w:t>G. </w:t>
      </w:r>
      <w:r w:rsidR="00A751E1" w:rsidRPr="00477F42">
        <w:rPr>
          <w:i/>
        </w:rPr>
        <w:t>stearothermophilus</w:t>
      </w:r>
      <w:r w:rsidR="00A751E1">
        <w:rPr>
          <w:i/>
        </w:rPr>
        <w:t>,</w:t>
      </w:r>
      <w:r w:rsidR="00A751E1">
        <w:t xml:space="preserve"> and one by a </w:t>
      </w:r>
      <w:r w:rsidR="00A751E1" w:rsidRPr="00A751E1">
        <w:t xml:space="preserve">GM strain of </w:t>
      </w:r>
      <w:r w:rsidR="00A751E1" w:rsidRPr="00A751E1">
        <w:rPr>
          <w:i/>
        </w:rPr>
        <w:t>Saccharomyces cerevisiae</w:t>
      </w:r>
      <w:r w:rsidR="00A751E1" w:rsidRPr="00A751E1">
        <w:t>, engineered to express an optimised variant of the maltogenic al</w:t>
      </w:r>
      <w:r w:rsidR="00A751E1">
        <w:t xml:space="preserve">pha </w:t>
      </w:r>
      <w:r w:rsidR="00A751E1" w:rsidRPr="00A751E1">
        <w:t>amylase gene</w:t>
      </w:r>
      <w:r w:rsidR="00A751E1">
        <w:t>, also</w:t>
      </w:r>
      <w:r w:rsidR="00A751E1" w:rsidRPr="00A751E1">
        <w:t xml:space="preserve"> from </w:t>
      </w:r>
      <w:r w:rsidR="00A751E1" w:rsidRPr="00A751E1">
        <w:rPr>
          <w:i/>
        </w:rPr>
        <w:t>G. stearothermophilus</w:t>
      </w:r>
      <w:r w:rsidR="00A751E1" w:rsidRPr="00A751E1">
        <w:rPr>
          <w:rStyle w:val="FootnoteReference"/>
        </w:rPr>
        <w:footnoteReference w:id="2"/>
      </w:r>
      <w:r w:rsidR="00477F42" w:rsidRPr="00477F42">
        <w:t xml:space="preserve">. </w:t>
      </w:r>
      <w:r>
        <w:t xml:space="preserve">Therefore, this </w:t>
      </w:r>
      <w:r w:rsidR="00ED43F6">
        <w:t xml:space="preserve">particular </w:t>
      </w:r>
      <w:r w:rsidR="008E7C68">
        <w:t xml:space="preserve">maltogenic alpha amylase </w:t>
      </w:r>
      <w:r>
        <w:t xml:space="preserve">enzyme </w:t>
      </w:r>
      <w:r w:rsidR="007D1AAF">
        <w:t>produced by</w:t>
      </w:r>
      <w:r w:rsidR="00ED43F6">
        <w:t xml:space="preserve"> a GM </w:t>
      </w:r>
      <w:r w:rsidR="008E7C68">
        <w:rPr>
          <w:i/>
        </w:rPr>
        <w:t xml:space="preserve">E. coli </w:t>
      </w:r>
      <w:r>
        <w:t xml:space="preserve">needs </w:t>
      </w:r>
      <w:r w:rsidRPr="00B659CB">
        <w:t xml:space="preserve">a pre-market assessment </w:t>
      </w:r>
      <w:r>
        <w:t xml:space="preserve">before permission can be given for its use as a processing </w:t>
      </w:r>
      <w:r w:rsidRPr="00B659CB">
        <w:t>aid</w:t>
      </w:r>
      <w:r>
        <w:t xml:space="preserve">. If permitted, </w:t>
      </w:r>
      <w:r w:rsidR="00E96EAD">
        <w:t>the enzyme</w:t>
      </w:r>
      <w:r>
        <w:t xml:space="preserve"> will provide an additional option for </w:t>
      </w:r>
      <w:r w:rsidR="00CB6844">
        <w:t xml:space="preserve">food and beverage manufacturers that produce baked products, or are involved in starch processing </w:t>
      </w:r>
      <w:r w:rsidR="00BD5CD9">
        <w:t xml:space="preserve">or </w:t>
      </w:r>
      <w:r w:rsidR="00CB6844">
        <w:t>brewing</w:t>
      </w:r>
      <w:r>
        <w:t>.</w:t>
      </w:r>
      <w:r w:rsidRPr="00B659CB">
        <w:t xml:space="preserve"> </w:t>
      </w:r>
    </w:p>
    <w:p w14:paraId="1A58B0DA" w14:textId="77777777" w:rsidR="00CB6844" w:rsidRDefault="00CB6844" w:rsidP="00CB6844">
      <w:pPr>
        <w:pStyle w:val="Heading2"/>
      </w:pPr>
      <w:bookmarkStart w:id="13" w:name="_Toc536543985"/>
      <w:bookmarkStart w:id="14" w:name="_Toc536607120"/>
      <w:bookmarkStart w:id="15" w:name="_Toc30154592"/>
      <w:bookmarkStart w:id="16" w:name="_Toc85204755"/>
      <w:bookmarkStart w:id="17" w:name="_Toc85211317"/>
      <w:bookmarkStart w:id="18" w:name="_Toc87259292"/>
      <w:r>
        <w:t>1.1</w:t>
      </w:r>
      <w:r>
        <w:tab/>
        <w:t>Objectives of the assessment</w:t>
      </w:r>
      <w:bookmarkEnd w:id="13"/>
      <w:bookmarkEnd w:id="14"/>
      <w:bookmarkEnd w:id="15"/>
      <w:bookmarkEnd w:id="16"/>
      <w:bookmarkEnd w:id="17"/>
      <w:bookmarkEnd w:id="18"/>
    </w:p>
    <w:p w14:paraId="578550FE" w14:textId="77777777" w:rsidR="00CB6844" w:rsidRPr="00B659CB" w:rsidRDefault="00CB6844" w:rsidP="00CB6844">
      <w:r w:rsidRPr="00B659CB">
        <w:t xml:space="preserve">The objectives of this risk </w:t>
      </w:r>
      <w:r>
        <w:t xml:space="preserve">and technical </w:t>
      </w:r>
      <w:r w:rsidRPr="00B659CB">
        <w:t>assessment were to:</w:t>
      </w:r>
    </w:p>
    <w:p w14:paraId="30810A26" w14:textId="77777777" w:rsidR="00CB6844" w:rsidRPr="00B659CB" w:rsidRDefault="00CB6844" w:rsidP="00CB6844"/>
    <w:p w14:paraId="616F2088" w14:textId="77777777" w:rsidR="00CB6844" w:rsidRDefault="00CB6844" w:rsidP="00CB6844">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7F3FDB3E" w14:textId="77777777" w:rsidR="00CB6844" w:rsidRPr="00B659CB" w:rsidDel="00AF339B" w:rsidRDefault="00CB6844" w:rsidP="00CB6844">
      <w:pPr>
        <w:pStyle w:val="ListParagraph"/>
        <w:ind w:left="709"/>
      </w:pPr>
    </w:p>
    <w:p w14:paraId="4FCAD18F" w14:textId="0B421358" w:rsidR="00CB6844" w:rsidRPr="00F87D40" w:rsidRDefault="00CB6844" w:rsidP="00CB6844">
      <w:pPr>
        <w:pStyle w:val="FSBullet1"/>
      </w:pPr>
      <w:r w:rsidRPr="00B659CB">
        <w:t xml:space="preserve">evaluate potential public health and safety </w:t>
      </w:r>
      <w:r>
        <w:t>concerns</w:t>
      </w:r>
      <w:r w:rsidRPr="00B659CB">
        <w:t xml:space="preserve"> that may arise from the use of </w:t>
      </w:r>
      <w:r>
        <w:t>this</w:t>
      </w:r>
      <w:r w:rsidRPr="00B659CB">
        <w:t xml:space="preserve"> </w:t>
      </w:r>
      <w:r>
        <w:t>enzyme, produced by</w:t>
      </w:r>
      <w:r w:rsidRPr="00B659CB">
        <w:t xml:space="preserve"> </w:t>
      </w:r>
      <w:r>
        <w:t xml:space="preserve">a GM microorganism, </w:t>
      </w:r>
      <w:r w:rsidRPr="00B659CB">
        <w:t>as a processing aid</w:t>
      </w:r>
      <w:r w:rsidR="00874381">
        <w:t>, s</w:t>
      </w:r>
      <w:r>
        <w:t>pecifically by considering the:</w:t>
      </w:r>
    </w:p>
    <w:p w14:paraId="32D6347D" w14:textId="77777777" w:rsidR="00CB6844" w:rsidRPr="00F853CC" w:rsidRDefault="00CB6844" w:rsidP="00CB6844">
      <w:pPr>
        <w:ind w:left="709" w:hanging="349"/>
      </w:pPr>
    </w:p>
    <w:p w14:paraId="5EA87B92" w14:textId="77777777" w:rsidR="00CB6844" w:rsidRDefault="00CB6844" w:rsidP="00CB6844">
      <w:pPr>
        <w:pStyle w:val="FSBullet2"/>
      </w:pPr>
      <w:r w:rsidRPr="00F853CC">
        <w:t>history of us</w:t>
      </w:r>
      <w:r>
        <w:t>e of the gene donor and production microorganisms</w:t>
      </w:r>
    </w:p>
    <w:p w14:paraId="009979EB" w14:textId="77777777" w:rsidR="00CB6844" w:rsidRPr="00460133" w:rsidRDefault="00CB6844" w:rsidP="00CB6844">
      <w:pPr>
        <w:pStyle w:val="FSBullet2"/>
      </w:pPr>
      <w:r>
        <w:lastRenderedPageBreak/>
        <w:t>characterisation of the genetic modification(s), and</w:t>
      </w:r>
    </w:p>
    <w:p w14:paraId="1AE6D2BD" w14:textId="77777777" w:rsidR="00CB6844" w:rsidRDefault="00CB6844" w:rsidP="00CB6844">
      <w:pPr>
        <w:pStyle w:val="FSBullet2"/>
      </w:pPr>
      <w:r>
        <w:t>safety of the enzyme.</w:t>
      </w:r>
    </w:p>
    <w:p w14:paraId="3030126B" w14:textId="00E0B097" w:rsidR="00CB6844" w:rsidRDefault="00CB6844" w:rsidP="00CB6844">
      <w:pPr>
        <w:pStyle w:val="Heading1"/>
      </w:pPr>
      <w:bookmarkStart w:id="19" w:name="_Toc536543986"/>
      <w:bookmarkStart w:id="20" w:name="_Toc536607121"/>
      <w:bookmarkStart w:id="21" w:name="_Toc30154593"/>
      <w:bookmarkStart w:id="22" w:name="_Toc85204756"/>
      <w:bookmarkStart w:id="23" w:name="_Toc85211318"/>
      <w:bookmarkStart w:id="24" w:name="_Toc87259293"/>
      <w:r>
        <w:t xml:space="preserve">2 </w:t>
      </w:r>
      <w:r>
        <w:tab/>
        <w:t>Food technology assessment</w:t>
      </w:r>
      <w:bookmarkEnd w:id="19"/>
      <w:bookmarkEnd w:id="20"/>
      <w:bookmarkEnd w:id="21"/>
      <w:bookmarkEnd w:id="22"/>
      <w:bookmarkEnd w:id="23"/>
      <w:bookmarkEnd w:id="24"/>
    </w:p>
    <w:p w14:paraId="3F3F721B" w14:textId="77777777" w:rsidR="00CB6844" w:rsidRDefault="00CB6844" w:rsidP="00CB6844">
      <w:pPr>
        <w:pStyle w:val="Heading2"/>
      </w:pPr>
      <w:bookmarkStart w:id="25" w:name="_Toc472327044"/>
      <w:bookmarkStart w:id="26" w:name="_Toc501699819"/>
      <w:bookmarkStart w:id="27" w:name="_Toc536543987"/>
      <w:bookmarkStart w:id="28" w:name="_Toc536607122"/>
      <w:bookmarkStart w:id="29" w:name="_Toc30154594"/>
      <w:bookmarkStart w:id="30" w:name="_Toc85204757"/>
      <w:bookmarkStart w:id="31" w:name="_Toc85211319"/>
      <w:bookmarkStart w:id="32" w:name="_Toc87259294"/>
      <w:r>
        <w:t>2.1</w:t>
      </w:r>
      <w:r>
        <w:tab/>
        <w:t>Characterisation of the enzyme</w:t>
      </w:r>
      <w:bookmarkEnd w:id="25"/>
      <w:bookmarkEnd w:id="26"/>
      <w:bookmarkEnd w:id="27"/>
      <w:bookmarkEnd w:id="28"/>
      <w:bookmarkEnd w:id="29"/>
      <w:bookmarkEnd w:id="30"/>
      <w:bookmarkEnd w:id="31"/>
      <w:bookmarkEnd w:id="32"/>
    </w:p>
    <w:p w14:paraId="00094A7B" w14:textId="77777777" w:rsidR="00CB6844" w:rsidRDefault="00CB6844" w:rsidP="00477F42">
      <w:pPr>
        <w:pStyle w:val="Heading3"/>
      </w:pPr>
      <w:bookmarkStart w:id="33" w:name="_Toc536543988"/>
      <w:bookmarkStart w:id="34" w:name="_Toc536607123"/>
      <w:bookmarkStart w:id="35" w:name="_Toc30154595"/>
      <w:bookmarkStart w:id="36" w:name="_Toc85204758"/>
      <w:bookmarkStart w:id="37" w:name="_Toc85211320"/>
      <w:bookmarkStart w:id="38" w:name="_Toc87259295"/>
      <w:r>
        <w:t>2.1.1</w:t>
      </w:r>
      <w:r>
        <w:tab/>
        <w:t>Identity of the enzyme</w:t>
      </w:r>
      <w:bookmarkEnd w:id="33"/>
      <w:bookmarkEnd w:id="34"/>
      <w:bookmarkEnd w:id="35"/>
      <w:bookmarkEnd w:id="36"/>
      <w:bookmarkEnd w:id="37"/>
      <w:bookmarkEnd w:id="38"/>
    </w:p>
    <w:p w14:paraId="051F3E4D" w14:textId="3DC4BE5C" w:rsidR="00781240" w:rsidRDefault="00CB6844" w:rsidP="002C1909">
      <w:r>
        <w:t>The applicant provided relevant i</w:t>
      </w:r>
      <w:r w:rsidRPr="006014F1">
        <w:t>nformation regarding the identity of the enzyme</w:t>
      </w:r>
      <w:r>
        <w:t xml:space="preserve">, and this has been </w:t>
      </w:r>
      <w:r w:rsidRPr="006014F1">
        <w:t>verified using an appropriate enzyme nomenclature reference (</w:t>
      </w:r>
      <w:r w:rsidR="002C1909" w:rsidRPr="002C1909">
        <w:t xml:space="preserve">IUBMB 2021 – accessed </w:t>
      </w:r>
      <w:r w:rsidR="002C1909">
        <w:t>2</w:t>
      </w:r>
      <w:r w:rsidR="002C1909" w:rsidRPr="002C1909">
        <w:t>7 September 2021).</w:t>
      </w:r>
    </w:p>
    <w:p w14:paraId="3FC7A42B" w14:textId="77777777" w:rsidR="002C1909" w:rsidRDefault="002C1909" w:rsidP="002C1909"/>
    <w:p w14:paraId="770CCDA3" w14:textId="2F0F9DA3" w:rsidR="00CB6844" w:rsidRPr="00626316" w:rsidRDefault="00CB6844" w:rsidP="00CB6844">
      <w:r w:rsidRPr="00626316">
        <w:t xml:space="preserve">Accepted </w:t>
      </w:r>
      <w:r w:rsidRPr="002C1909">
        <w:t>IUBMB</w:t>
      </w:r>
      <w:r w:rsidRPr="00626316">
        <w:rPr>
          <w:rStyle w:val="FootnoteReference"/>
        </w:rPr>
        <w:footnoteReference w:id="3"/>
      </w:r>
      <w:r w:rsidRPr="00626316">
        <w:t xml:space="preserve"> name:</w:t>
      </w:r>
      <w:r w:rsidRPr="00626316">
        <w:tab/>
      </w:r>
      <w:r w:rsidRPr="00626316">
        <w:tab/>
      </w:r>
      <w:r w:rsidR="00626316" w:rsidRPr="00626316">
        <w:t>glucan 1,4-α-maltohydrolase</w:t>
      </w:r>
    </w:p>
    <w:p w14:paraId="4139E080" w14:textId="77777777" w:rsidR="00CB6844" w:rsidRPr="00626316" w:rsidRDefault="00CB6844" w:rsidP="00CB6844"/>
    <w:p w14:paraId="646652C2" w14:textId="1C11AF68" w:rsidR="00CB6844" w:rsidRPr="00626316" w:rsidRDefault="00CB6844" w:rsidP="00CB6844">
      <w:r w:rsidRPr="00626316">
        <w:t xml:space="preserve">Systematic name: </w:t>
      </w:r>
      <w:r w:rsidRPr="00626316">
        <w:tab/>
      </w:r>
      <w:r w:rsidRPr="00626316">
        <w:tab/>
      </w:r>
      <w:r w:rsidRPr="00626316">
        <w:tab/>
      </w:r>
      <w:r w:rsidR="00626316" w:rsidRPr="00626316">
        <w:t>4-α-D-glucan α-maltohydrolase</w:t>
      </w:r>
      <w:r w:rsidRPr="00626316">
        <w:tab/>
      </w:r>
      <w:r w:rsidRPr="00626316">
        <w:tab/>
      </w:r>
      <w:r w:rsidRPr="00626316">
        <w:tab/>
      </w:r>
    </w:p>
    <w:p w14:paraId="4481C886" w14:textId="77777777" w:rsidR="00CB6844" w:rsidRPr="00626316" w:rsidRDefault="00CB6844" w:rsidP="00CB6844">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p>
    <w:p w14:paraId="41F693AC" w14:textId="289FEDAD" w:rsidR="00CB6844" w:rsidRPr="00CB6844" w:rsidRDefault="00CB6844" w:rsidP="00CB6844">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rPr>
          <w:color w:val="BFBFBF" w:themeColor="background1" w:themeShade="BF"/>
        </w:rPr>
      </w:pPr>
      <w:r w:rsidRPr="00626316">
        <w:t>Other names:</w:t>
      </w:r>
      <w:r w:rsidRPr="00626316">
        <w:tab/>
      </w:r>
      <w:r w:rsidRPr="00626316">
        <w:tab/>
      </w:r>
      <w:r w:rsidRPr="00626316">
        <w:tab/>
      </w:r>
      <w:r w:rsidRPr="00626316">
        <w:tab/>
      </w:r>
      <w:r w:rsidR="00626316" w:rsidRPr="00626316">
        <w:t>maltogenic α-amylase</w:t>
      </w:r>
      <w:r w:rsidR="00626316" w:rsidRPr="00626316">
        <w:rPr>
          <w:rStyle w:val="FootnoteReference"/>
        </w:rPr>
        <w:footnoteReference w:id="4"/>
      </w:r>
      <w:r w:rsidR="00626316" w:rsidRPr="00626316">
        <w:t>; 1,4-α-D-glucan α-maltohydrolase</w:t>
      </w:r>
      <w:r w:rsidR="00626316">
        <w:t xml:space="preserve"> </w:t>
      </w:r>
    </w:p>
    <w:p w14:paraId="2B8C02E7" w14:textId="77777777" w:rsidR="00CB6844" w:rsidRPr="00CB6844" w:rsidRDefault="00CB6844" w:rsidP="00CB6844">
      <w:pPr>
        <w:rPr>
          <w:color w:val="BFBFBF" w:themeColor="background1" w:themeShade="BF"/>
        </w:rPr>
      </w:pPr>
    </w:p>
    <w:p w14:paraId="35583475" w14:textId="1D286CF6" w:rsidR="00CB6844" w:rsidRPr="00CB6844" w:rsidRDefault="00CB6844" w:rsidP="00CB6844">
      <w:pPr>
        <w:rPr>
          <w:color w:val="BFBFBF" w:themeColor="background1" w:themeShade="BF"/>
        </w:rPr>
      </w:pPr>
      <w:r w:rsidRPr="002C1909">
        <w:t>IUBMB</w:t>
      </w:r>
      <w:r w:rsidRPr="008E7C68">
        <w:t xml:space="preserve"> </w:t>
      </w:r>
      <w:r w:rsidRPr="00626316">
        <w:t>enzyme nomenclature:</w:t>
      </w:r>
      <w:r w:rsidRPr="00626316">
        <w:tab/>
        <w:t>EC 3.2.1.1</w:t>
      </w:r>
      <w:r w:rsidR="00626316" w:rsidRPr="00626316">
        <w:t>33</w:t>
      </w:r>
    </w:p>
    <w:p w14:paraId="13E12C7F" w14:textId="77777777" w:rsidR="00CB6844" w:rsidRPr="00CB6844" w:rsidRDefault="00CB6844" w:rsidP="00CB6844">
      <w:pPr>
        <w:tabs>
          <w:tab w:val="left" w:pos="6100"/>
        </w:tabs>
        <w:rPr>
          <w:color w:val="BFBFBF" w:themeColor="background1" w:themeShade="BF"/>
        </w:rPr>
      </w:pPr>
      <w:r w:rsidRPr="00CB6844">
        <w:rPr>
          <w:color w:val="BFBFBF" w:themeColor="background1" w:themeShade="BF"/>
        </w:rPr>
        <w:tab/>
      </w:r>
    </w:p>
    <w:p w14:paraId="4074BC42" w14:textId="44FCAC10" w:rsidR="00CB6844" w:rsidRPr="00CB6844" w:rsidRDefault="00CB6844" w:rsidP="00CB6844">
      <w:pPr>
        <w:rPr>
          <w:color w:val="BFBFBF" w:themeColor="background1" w:themeShade="BF"/>
          <w:highlight w:val="yellow"/>
        </w:rPr>
      </w:pPr>
      <w:r w:rsidRPr="00626316">
        <w:t>CAS</w:t>
      </w:r>
      <w:r w:rsidRPr="00626316">
        <w:rPr>
          <w:rStyle w:val="FootnoteReference"/>
        </w:rPr>
        <w:footnoteReference w:id="5"/>
      </w:r>
      <w:r w:rsidRPr="00626316">
        <w:t xml:space="preserve"> number:</w:t>
      </w:r>
      <w:r w:rsidRPr="00CB6844">
        <w:rPr>
          <w:color w:val="BFBFBF" w:themeColor="background1" w:themeShade="BF"/>
        </w:rPr>
        <w:tab/>
      </w:r>
      <w:r w:rsidRPr="00CB6844">
        <w:rPr>
          <w:color w:val="BFBFBF" w:themeColor="background1" w:themeShade="BF"/>
        </w:rPr>
        <w:tab/>
      </w:r>
      <w:r w:rsidRPr="00CB6844">
        <w:rPr>
          <w:color w:val="BFBFBF" w:themeColor="background1" w:themeShade="BF"/>
        </w:rPr>
        <w:tab/>
      </w:r>
      <w:r w:rsidRPr="00CB6844">
        <w:rPr>
          <w:color w:val="BFBFBF" w:themeColor="background1" w:themeShade="BF"/>
        </w:rPr>
        <w:tab/>
      </w:r>
      <w:r w:rsidR="00626316" w:rsidRPr="008A7EE8">
        <w:t>160611-47-2</w:t>
      </w:r>
      <w:r w:rsidRPr="00CB6844">
        <w:rPr>
          <w:color w:val="BFBFBF" w:themeColor="background1" w:themeShade="BF"/>
        </w:rPr>
        <w:tab/>
      </w:r>
    </w:p>
    <w:p w14:paraId="59670BB0" w14:textId="77777777" w:rsidR="00CB6844" w:rsidRPr="00CB6844" w:rsidRDefault="00CB6844" w:rsidP="00CB6844">
      <w:pPr>
        <w:rPr>
          <w:color w:val="BFBFBF" w:themeColor="background1" w:themeShade="BF"/>
          <w:highlight w:val="yellow"/>
        </w:rPr>
      </w:pPr>
    </w:p>
    <w:p w14:paraId="33C6325D" w14:textId="0E742B78" w:rsidR="00CB6844" w:rsidRDefault="00CB6844" w:rsidP="008A7EE8">
      <w:pPr>
        <w:ind w:left="3402" w:hanging="3402"/>
      </w:pPr>
      <w:r w:rsidRPr="00626316">
        <w:t xml:space="preserve">Reaction: </w:t>
      </w:r>
      <w:r w:rsidRPr="00626316">
        <w:tab/>
      </w:r>
      <w:r w:rsidR="008A7EE8">
        <w:t>Hy</w:t>
      </w:r>
      <w:r w:rsidR="008A7EE8" w:rsidRPr="008A7EE8">
        <w:t xml:space="preserve">drolysis of (1→4)-alpha-D-glucosidic linkages in polysaccharides </w:t>
      </w:r>
      <w:r w:rsidR="008A7EE8">
        <w:t>removing successive alpha-</w:t>
      </w:r>
      <w:r w:rsidR="008A7EE8" w:rsidRPr="008A7EE8">
        <w:t xml:space="preserve">maltose </w:t>
      </w:r>
      <w:r w:rsidR="008A7EE8">
        <w:t xml:space="preserve">residues </w:t>
      </w:r>
      <w:r w:rsidR="008A7EE8" w:rsidRPr="008A7EE8">
        <w:t>from the non-reducing ends of the chains</w:t>
      </w:r>
    </w:p>
    <w:p w14:paraId="18EB4728" w14:textId="77777777" w:rsidR="00CB6844" w:rsidRPr="00477F42" w:rsidRDefault="00CB6844" w:rsidP="00477F42">
      <w:pPr>
        <w:pStyle w:val="Heading3"/>
      </w:pPr>
      <w:bookmarkStart w:id="39" w:name="_Toc536543989"/>
      <w:bookmarkStart w:id="40" w:name="_Toc536607124"/>
      <w:bookmarkStart w:id="41" w:name="_Toc30154596"/>
      <w:bookmarkStart w:id="42" w:name="_Toc85204759"/>
      <w:bookmarkStart w:id="43" w:name="_Toc85211321"/>
      <w:bookmarkStart w:id="44" w:name="_Toc87259296"/>
      <w:r w:rsidRPr="00477F42">
        <w:lastRenderedPageBreak/>
        <w:t>2.1.2</w:t>
      </w:r>
      <w:r w:rsidRPr="00477F42">
        <w:tab/>
        <w:t>Technological purpose of the enzyme</w:t>
      </w:r>
      <w:bookmarkEnd w:id="39"/>
      <w:bookmarkEnd w:id="40"/>
      <w:bookmarkEnd w:id="41"/>
      <w:bookmarkEnd w:id="42"/>
      <w:bookmarkEnd w:id="43"/>
      <w:bookmarkEnd w:id="44"/>
    </w:p>
    <w:p w14:paraId="76ED6A6D" w14:textId="13C342FD" w:rsidR="00CB6844" w:rsidRPr="00771629" w:rsidRDefault="00771629" w:rsidP="009505EF">
      <w:pPr>
        <w:rPr>
          <w:lang w:eastAsia="en-AU" w:bidi="ar-SA"/>
        </w:rPr>
      </w:pPr>
      <w:r w:rsidRPr="00771629">
        <w:rPr>
          <w:lang w:eastAsia="en-AU" w:bidi="ar-SA"/>
        </w:rPr>
        <w:t>M</w:t>
      </w:r>
      <w:r w:rsidR="009505EF" w:rsidRPr="00771629">
        <w:rPr>
          <w:lang w:eastAsia="en-AU" w:bidi="ar-SA"/>
        </w:rPr>
        <w:t xml:space="preserve">altogenic alpha amylase catalyses the hydrolysis of </w:t>
      </w:r>
      <w:r w:rsidR="00D36876" w:rsidRPr="00771629">
        <w:rPr>
          <w:lang w:eastAsia="en-AU" w:bidi="ar-SA"/>
        </w:rPr>
        <w:t xml:space="preserve">(1→4)-alpha-D-glucosidic linkages </w:t>
      </w:r>
      <w:r w:rsidR="009505EF" w:rsidRPr="00771629">
        <w:rPr>
          <w:lang w:eastAsia="en-AU" w:bidi="ar-SA"/>
        </w:rPr>
        <w:t xml:space="preserve">in amylose, amylopectin and related </w:t>
      </w:r>
      <w:r w:rsidR="00D36876" w:rsidRPr="00771629">
        <w:rPr>
          <w:lang w:eastAsia="en-AU" w:bidi="ar-SA"/>
        </w:rPr>
        <w:t>polysaccharides</w:t>
      </w:r>
      <w:r w:rsidR="008E7C68">
        <w:rPr>
          <w:lang w:eastAsia="en-AU" w:bidi="ar-SA"/>
        </w:rPr>
        <w:t xml:space="preserve"> in starch</w:t>
      </w:r>
      <w:r w:rsidR="009505EF" w:rsidRPr="00771629">
        <w:rPr>
          <w:lang w:eastAsia="en-AU" w:bidi="ar-SA"/>
        </w:rPr>
        <w:t xml:space="preserve">. </w:t>
      </w:r>
      <w:r w:rsidRPr="00771629">
        <w:rPr>
          <w:lang w:eastAsia="en-AU" w:bidi="ar-SA"/>
        </w:rPr>
        <w:t>As the name implies, the enzyme successively removes m</w:t>
      </w:r>
      <w:r w:rsidR="009505EF" w:rsidRPr="00771629">
        <w:rPr>
          <w:lang w:eastAsia="en-AU" w:bidi="ar-SA"/>
        </w:rPr>
        <w:t xml:space="preserve">altose units from the non-reducing end of the </w:t>
      </w:r>
      <w:r w:rsidR="00D36876" w:rsidRPr="00771629">
        <w:rPr>
          <w:lang w:eastAsia="en-AU" w:bidi="ar-SA"/>
        </w:rPr>
        <w:t>polysaccharide</w:t>
      </w:r>
      <w:r w:rsidR="009505EF" w:rsidRPr="00771629">
        <w:rPr>
          <w:lang w:eastAsia="en-AU" w:bidi="ar-SA"/>
        </w:rPr>
        <w:t xml:space="preserve"> chain (see Figure 1)</w:t>
      </w:r>
      <w:r w:rsidR="00D36876" w:rsidRPr="00771629">
        <w:rPr>
          <w:lang w:eastAsia="en-AU" w:bidi="ar-SA"/>
        </w:rPr>
        <w:t>.</w:t>
      </w:r>
    </w:p>
    <w:p w14:paraId="13EE408E" w14:textId="77777777" w:rsidR="00721B08" w:rsidRDefault="00721B08" w:rsidP="00CB6844">
      <w:pPr>
        <w:rPr>
          <w:noProof/>
          <w:lang w:eastAsia="en-GB" w:bidi="ar-SA"/>
        </w:rPr>
      </w:pPr>
    </w:p>
    <w:p w14:paraId="0D18D4F5" w14:textId="6F6BC194" w:rsidR="00CB6844" w:rsidRPr="00CB6844" w:rsidRDefault="00721B08" w:rsidP="00CB6844">
      <w:pPr>
        <w:rPr>
          <w:color w:val="BFBFBF" w:themeColor="background1" w:themeShade="BF"/>
          <w:lang w:eastAsia="en-AU" w:bidi="ar-SA"/>
        </w:rPr>
      </w:pPr>
      <w:r>
        <w:rPr>
          <w:noProof/>
          <w:lang w:eastAsia="en-GB" w:bidi="ar-SA"/>
        </w:rPr>
        <w:drawing>
          <wp:inline distT="0" distB="0" distL="0" distR="0" wp14:anchorId="4302D0D5" wp14:editId="03334163">
            <wp:extent cx="5676314" cy="1730375"/>
            <wp:effectExtent l="19050" t="19050" r="1968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443"/>
                    <a:stretch/>
                  </pic:blipFill>
                  <pic:spPr bwMode="auto">
                    <a:xfrm>
                      <a:off x="0" y="0"/>
                      <a:ext cx="5676314" cy="1730375"/>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CAE6A23" w14:textId="0BB69428" w:rsidR="00CB6844" w:rsidRPr="00CB6844" w:rsidRDefault="00CB6844" w:rsidP="00CB6844">
      <w:pPr>
        <w:rPr>
          <w:b/>
          <w:color w:val="BFBFBF" w:themeColor="background1" w:themeShade="BF"/>
          <w:sz w:val="18"/>
          <w:szCs w:val="18"/>
        </w:rPr>
      </w:pPr>
      <w:r w:rsidRPr="00477F42">
        <w:rPr>
          <w:sz w:val="18"/>
          <w:szCs w:val="18"/>
        </w:rPr>
        <w:t>Source: BRENDA:EC3.2.1.1</w:t>
      </w:r>
      <w:r w:rsidR="00721B08" w:rsidRPr="00477F42">
        <w:rPr>
          <w:sz w:val="18"/>
          <w:szCs w:val="18"/>
        </w:rPr>
        <w:t>33</w:t>
      </w:r>
      <w:r w:rsidRPr="00477F42">
        <w:rPr>
          <w:sz w:val="18"/>
          <w:szCs w:val="18"/>
        </w:rPr>
        <w:t xml:space="preserve"> (</w:t>
      </w:r>
      <w:hyperlink r:id="rId19" w:history="1">
        <w:r w:rsidR="00721B08" w:rsidRPr="00F834AF">
          <w:rPr>
            <w:rStyle w:val="Hyperlink"/>
            <w:sz w:val="18"/>
            <w:szCs w:val="18"/>
          </w:rPr>
          <w:t>https://www.brenda-enzymes.org/enzyme.php?ecno=3.2.1.133</w:t>
        </w:r>
      </w:hyperlink>
      <w:r w:rsidRPr="00477F42">
        <w:rPr>
          <w:sz w:val="18"/>
          <w:szCs w:val="18"/>
        </w:rPr>
        <w:t xml:space="preserve">) </w:t>
      </w:r>
    </w:p>
    <w:p w14:paraId="1A2A7DDC" w14:textId="77777777" w:rsidR="00CB6844" w:rsidRPr="00CB6844" w:rsidRDefault="00CB6844" w:rsidP="00CB6844">
      <w:pPr>
        <w:rPr>
          <w:b/>
          <w:i/>
          <w:color w:val="BFBFBF" w:themeColor="background1" w:themeShade="BF"/>
        </w:rPr>
      </w:pPr>
    </w:p>
    <w:p w14:paraId="6B2B1CCA" w14:textId="6C027E3B" w:rsidR="00CB6844" w:rsidRPr="00477F42" w:rsidRDefault="00CB6844" w:rsidP="00CB6844">
      <w:pPr>
        <w:rPr>
          <w:lang w:eastAsia="en-AU" w:bidi="ar-SA"/>
        </w:rPr>
      </w:pPr>
      <w:r w:rsidRPr="00477F42">
        <w:rPr>
          <w:b/>
          <w:i/>
        </w:rPr>
        <w:t>Figure 1</w:t>
      </w:r>
      <w:r w:rsidRPr="00477F42">
        <w:rPr>
          <w:i/>
        </w:rPr>
        <w:tab/>
        <w:t xml:space="preserve">Representation of hydrolysis reaction of a polysaccharide catalysed by </w:t>
      </w:r>
      <w:r w:rsidR="00477F42">
        <w:rPr>
          <w:i/>
        </w:rPr>
        <w:t xml:space="preserve">maltogenic </w:t>
      </w:r>
      <w:r w:rsidRPr="00477F42">
        <w:rPr>
          <w:i/>
        </w:rPr>
        <w:t>alpha</w:t>
      </w:r>
      <w:r w:rsidR="00477F42">
        <w:rPr>
          <w:i/>
        </w:rPr>
        <w:t xml:space="preserve"> </w:t>
      </w:r>
      <w:r w:rsidRPr="00477F42">
        <w:rPr>
          <w:i/>
        </w:rPr>
        <w:t>amylase</w:t>
      </w:r>
      <w:r w:rsidR="00D526A7">
        <w:rPr>
          <w:i/>
        </w:rPr>
        <w:t>, producing maltose</w:t>
      </w:r>
    </w:p>
    <w:p w14:paraId="6FFC503D" w14:textId="77777777" w:rsidR="00CB6844" w:rsidRPr="00CB6844" w:rsidRDefault="00CB6844" w:rsidP="00CB6844">
      <w:pPr>
        <w:rPr>
          <w:color w:val="BFBFBF" w:themeColor="background1" w:themeShade="BF"/>
          <w:lang w:eastAsia="en-AU" w:bidi="ar-SA"/>
        </w:rPr>
      </w:pPr>
    </w:p>
    <w:p w14:paraId="3D9F32DD" w14:textId="701DB636" w:rsidR="00CB6844" w:rsidRPr="007F143F" w:rsidRDefault="00CB6844" w:rsidP="007F143F">
      <w:pPr>
        <w:rPr>
          <w:lang w:eastAsia="en-AU" w:bidi="ar-SA"/>
        </w:rPr>
      </w:pPr>
      <w:r w:rsidRPr="007F143F">
        <w:rPr>
          <w:lang w:eastAsia="en-AU" w:bidi="ar-SA"/>
        </w:rPr>
        <w:t xml:space="preserve">The stated technological purpose of </w:t>
      </w:r>
      <w:r w:rsidR="007F143F" w:rsidRPr="007F143F">
        <w:rPr>
          <w:lang w:eastAsia="en-AU" w:bidi="ar-SA"/>
        </w:rPr>
        <w:t xml:space="preserve">maltogenic </w:t>
      </w:r>
      <w:r w:rsidRPr="007F143F">
        <w:rPr>
          <w:lang w:eastAsia="en-AU" w:bidi="ar-SA"/>
        </w:rPr>
        <w:t>alpha</w:t>
      </w:r>
      <w:r w:rsidR="00DF13FC">
        <w:rPr>
          <w:lang w:eastAsia="en-AU" w:bidi="ar-SA"/>
        </w:rPr>
        <w:t xml:space="preserve"> </w:t>
      </w:r>
      <w:r w:rsidRPr="007F143F">
        <w:rPr>
          <w:lang w:eastAsia="en-AU" w:bidi="ar-SA"/>
        </w:rPr>
        <w:t xml:space="preserve">amylase in </w:t>
      </w:r>
      <w:r w:rsidR="007F143F" w:rsidRPr="007F143F">
        <w:rPr>
          <w:lang w:eastAsia="en-AU" w:bidi="ar-SA"/>
        </w:rPr>
        <w:t xml:space="preserve">baking, brewing and </w:t>
      </w:r>
      <w:r w:rsidRPr="007F143F">
        <w:rPr>
          <w:lang w:eastAsia="en-AU" w:bidi="ar-SA"/>
        </w:rPr>
        <w:t xml:space="preserve">starch processing is </w:t>
      </w:r>
      <w:r w:rsidR="007F143F">
        <w:rPr>
          <w:lang w:eastAsia="en-AU" w:bidi="ar-SA"/>
        </w:rPr>
        <w:t>consistent with</w:t>
      </w:r>
      <w:r w:rsidR="003821F5">
        <w:rPr>
          <w:lang w:eastAsia="en-AU" w:bidi="ar-SA"/>
        </w:rPr>
        <w:t xml:space="preserve"> the </w:t>
      </w:r>
      <w:r w:rsidRPr="007F143F">
        <w:rPr>
          <w:lang w:eastAsia="en-AU" w:bidi="ar-SA"/>
        </w:rPr>
        <w:t>scientific literature</w:t>
      </w:r>
      <w:r w:rsidR="009A2997">
        <w:rPr>
          <w:lang w:eastAsia="en-AU" w:bidi="ar-SA"/>
        </w:rPr>
        <w:t xml:space="preserve"> (</w:t>
      </w:r>
      <w:r w:rsidR="009A2997" w:rsidRPr="0098490F">
        <w:rPr>
          <w:lang w:eastAsia="en-AU" w:bidi="ar-SA"/>
        </w:rPr>
        <w:t>Marc et al</w:t>
      </w:r>
      <w:r w:rsidR="007F143F" w:rsidRPr="0098490F">
        <w:rPr>
          <w:lang w:eastAsia="en-AU" w:bidi="ar-SA"/>
        </w:rPr>
        <w:t>.</w:t>
      </w:r>
      <w:r w:rsidR="009A2997" w:rsidRPr="0098490F">
        <w:rPr>
          <w:lang w:eastAsia="en-AU" w:bidi="ar-SA"/>
        </w:rPr>
        <w:t xml:space="preserve"> 2002</w:t>
      </w:r>
      <w:r w:rsidR="009A2997">
        <w:rPr>
          <w:lang w:eastAsia="en-AU" w:bidi="ar-SA"/>
        </w:rPr>
        <w:t xml:space="preserve">; </w:t>
      </w:r>
      <w:r w:rsidR="009A2997" w:rsidRPr="0098490F">
        <w:rPr>
          <w:lang w:eastAsia="en-AU" w:bidi="ar-SA"/>
        </w:rPr>
        <w:t>Slominska 1989</w:t>
      </w:r>
      <w:r w:rsidR="009A2997">
        <w:rPr>
          <w:lang w:eastAsia="en-AU" w:bidi="ar-SA"/>
        </w:rPr>
        <w:t>).</w:t>
      </w:r>
      <w:r w:rsidR="007F143F">
        <w:rPr>
          <w:lang w:eastAsia="en-AU" w:bidi="ar-SA"/>
        </w:rPr>
        <w:t xml:space="preserve"> In addition</w:t>
      </w:r>
      <w:r w:rsidR="003821F5">
        <w:rPr>
          <w:lang w:eastAsia="en-AU" w:bidi="ar-SA"/>
        </w:rPr>
        <w:t xml:space="preserve">, it is supported by the results of studies provided by </w:t>
      </w:r>
      <w:r w:rsidR="007F143F">
        <w:rPr>
          <w:lang w:eastAsia="en-AU" w:bidi="ar-SA"/>
        </w:rPr>
        <w:t xml:space="preserve">the applicant that </w:t>
      </w:r>
      <w:r w:rsidR="003821F5">
        <w:rPr>
          <w:lang w:eastAsia="en-AU" w:bidi="ar-SA"/>
        </w:rPr>
        <w:t xml:space="preserve">investigated </w:t>
      </w:r>
      <w:r w:rsidR="007F143F">
        <w:rPr>
          <w:lang w:eastAsia="en-AU" w:bidi="ar-SA"/>
        </w:rPr>
        <w:t>the effect</w:t>
      </w:r>
      <w:r w:rsidR="00003A8E">
        <w:rPr>
          <w:lang w:eastAsia="en-AU" w:bidi="ar-SA"/>
        </w:rPr>
        <w:t>s of the enzyme in</w:t>
      </w:r>
      <w:r w:rsidR="003821F5">
        <w:rPr>
          <w:lang w:eastAsia="en-AU" w:bidi="ar-SA"/>
        </w:rPr>
        <w:t xml:space="preserve"> bread making;</w:t>
      </w:r>
      <w:r w:rsidR="007F143F">
        <w:rPr>
          <w:lang w:eastAsia="en-AU" w:bidi="ar-SA"/>
        </w:rPr>
        <w:t xml:space="preserve"> </w:t>
      </w:r>
      <w:r w:rsidR="003821F5">
        <w:rPr>
          <w:lang w:eastAsia="en-AU" w:bidi="ar-SA"/>
        </w:rPr>
        <w:t xml:space="preserve">the </w:t>
      </w:r>
      <w:r w:rsidR="007F143F" w:rsidRPr="007F143F">
        <w:rPr>
          <w:lang w:eastAsia="en-AU" w:bidi="ar-SA"/>
        </w:rPr>
        <w:t xml:space="preserve">production of maltose syrup with corn starch as </w:t>
      </w:r>
      <w:r w:rsidR="007F143F">
        <w:rPr>
          <w:lang w:eastAsia="en-AU" w:bidi="ar-SA"/>
        </w:rPr>
        <w:t xml:space="preserve">a </w:t>
      </w:r>
      <w:r w:rsidR="007F143F" w:rsidRPr="007F143F">
        <w:rPr>
          <w:lang w:eastAsia="en-AU" w:bidi="ar-SA"/>
        </w:rPr>
        <w:t>substrate</w:t>
      </w:r>
      <w:r w:rsidR="007F143F">
        <w:rPr>
          <w:lang w:eastAsia="en-AU" w:bidi="ar-SA"/>
        </w:rPr>
        <w:t>; and its</w:t>
      </w:r>
      <w:r w:rsidR="009A2997">
        <w:rPr>
          <w:lang w:eastAsia="en-AU" w:bidi="ar-SA"/>
        </w:rPr>
        <w:t xml:space="preserve"> </w:t>
      </w:r>
      <w:r w:rsidR="007F143F">
        <w:rPr>
          <w:lang w:eastAsia="en-AU" w:bidi="ar-SA"/>
        </w:rPr>
        <w:t xml:space="preserve">action on the starch of barley malt and millet </w:t>
      </w:r>
      <w:r w:rsidR="003821F5">
        <w:rPr>
          <w:lang w:eastAsia="en-AU" w:bidi="ar-SA"/>
        </w:rPr>
        <w:t>in brewing</w:t>
      </w:r>
      <w:r w:rsidR="007F143F">
        <w:rPr>
          <w:lang w:eastAsia="en-AU" w:bidi="ar-SA"/>
        </w:rPr>
        <w:t>.</w:t>
      </w:r>
      <w:r w:rsidR="003821F5">
        <w:rPr>
          <w:lang w:eastAsia="en-AU" w:bidi="ar-SA"/>
        </w:rPr>
        <w:t xml:space="preserve"> </w:t>
      </w:r>
      <w:r w:rsidRPr="007F143F">
        <w:rPr>
          <w:lang w:eastAsia="en-AU" w:bidi="ar-SA"/>
        </w:rPr>
        <w:t xml:space="preserve"> </w:t>
      </w:r>
    </w:p>
    <w:p w14:paraId="1F6F281F" w14:textId="77777777" w:rsidR="00CB6844" w:rsidRPr="007F143F" w:rsidRDefault="00CB6844" w:rsidP="00CB6844">
      <w:pPr>
        <w:rPr>
          <w:lang w:eastAsia="en-AU" w:bidi="ar-SA"/>
        </w:rPr>
      </w:pPr>
    </w:p>
    <w:p w14:paraId="3DEB4F76" w14:textId="2B5F6257" w:rsidR="009A2997" w:rsidRPr="009A2997" w:rsidRDefault="009A2997" w:rsidP="009A2997">
      <w:pPr>
        <w:rPr>
          <w:color w:val="808080" w:themeColor="background1" w:themeShade="80"/>
          <w:lang w:eastAsia="en-AU" w:bidi="ar-SA"/>
        </w:rPr>
      </w:pPr>
      <w:r w:rsidRPr="00494076">
        <w:rPr>
          <w:lang w:eastAsia="en-AU" w:bidi="ar-SA"/>
        </w:rPr>
        <w:t xml:space="preserve">Specifically, in baking, the </w:t>
      </w:r>
      <w:r w:rsidR="00003A8E">
        <w:rPr>
          <w:lang w:eastAsia="en-AU" w:bidi="ar-SA"/>
        </w:rPr>
        <w:t xml:space="preserve">enzyme catalyses the </w:t>
      </w:r>
      <w:r w:rsidRPr="00494076">
        <w:rPr>
          <w:lang w:eastAsia="en-AU" w:bidi="ar-SA"/>
        </w:rPr>
        <w:t xml:space="preserve">selective hydrolysis of starch </w:t>
      </w:r>
      <w:r w:rsidR="00003A8E">
        <w:rPr>
          <w:lang w:eastAsia="en-AU" w:bidi="ar-SA"/>
        </w:rPr>
        <w:t xml:space="preserve">which helps </w:t>
      </w:r>
      <w:r w:rsidRPr="00494076">
        <w:rPr>
          <w:lang w:eastAsia="en-AU" w:bidi="ar-SA"/>
        </w:rPr>
        <w:t>prevent retrogradation</w:t>
      </w:r>
      <w:r w:rsidR="007E497C">
        <w:rPr>
          <w:lang w:eastAsia="en-AU" w:bidi="ar-SA"/>
        </w:rPr>
        <w:t xml:space="preserve">, imparting </w:t>
      </w:r>
      <w:r w:rsidRPr="00494076">
        <w:rPr>
          <w:lang w:eastAsia="en-AU" w:bidi="ar-SA"/>
        </w:rPr>
        <w:t xml:space="preserve">anti-staling properties </w:t>
      </w:r>
      <w:r w:rsidR="007E497C">
        <w:rPr>
          <w:lang w:eastAsia="en-AU" w:bidi="ar-SA"/>
        </w:rPr>
        <w:t xml:space="preserve">in </w:t>
      </w:r>
      <w:r w:rsidRPr="00494076">
        <w:rPr>
          <w:lang w:eastAsia="en-AU" w:bidi="ar-SA"/>
        </w:rPr>
        <w:t>bread and other baked goods</w:t>
      </w:r>
      <w:r w:rsidR="002E756A">
        <w:rPr>
          <w:lang w:eastAsia="en-AU" w:bidi="ar-SA"/>
        </w:rPr>
        <w:t xml:space="preserve"> (Marc et al. 2002)</w:t>
      </w:r>
      <w:r w:rsidRPr="00494076">
        <w:rPr>
          <w:lang w:eastAsia="en-AU" w:bidi="ar-SA"/>
        </w:rPr>
        <w:t>. In starch processing</w:t>
      </w:r>
      <w:r w:rsidR="00494076" w:rsidRPr="00494076">
        <w:rPr>
          <w:lang w:eastAsia="en-AU" w:bidi="ar-SA"/>
        </w:rPr>
        <w:t xml:space="preserve"> for the production of maltose/glucose syrups, the enzyme</w:t>
      </w:r>
      <w:r w:rsidR="002E756A">
        <w:rPr>
          <w:lang w:eastAsia="en-AU" w:bidi="ar-SA"/>
        </w:rPr>
        <w:t>’s</w:t>
      </w:r>
      <w:r w:rsidR="00494076" w:rsidRPr="00494076">
        <w:rPr>
          <w:lang w:eastAsia="en-AU" w:bidi="ar-SA"/>
        </w:rPr>
        <w:t xml:space="preserve"> </w:t>
      </w:r>
      <w:r w:rsidR="002E756A">
        <w:rPr>
          <w:lang w:eastAsia="en-AU" w:bidi="ar-SA"/>
        </w:rPr>
        <w:t xml:space="preserve">action </w:t>
      </w:r>
      <w:r w:rsidR="002E756A" w:rsidRPr="002E756A">
        <w:rPr>
          <w:lang w:eastAsia="en-AU" w:bidi="ar-SA"/>
        </w:rPr>
        <w:t>yield</w:t>
      </w:r>
      <w:r w:rsidR="002E756A">
        <w:rPr>
          <w:lang w:eastAsia="en-AU" w:bidi="ar-SA"/>
        </w:rPr>
        <w:t>s</w:t>
      </w:r>
      <w:r w:rsidR="002E756A" w:rsidRPr="002E756A">
        <w:rPr>
          <w:lang w:eastAsia="en-AU" w:bidi="ar-SA"/>
        </w:rPr>
        <w:t xml:space="preserve"> elevated maltose levels through either prolonged hydrolysis of starch </w:t>
      </w:r>
      <w:r w:rsidR="002E756A">
        <w:rPr>
          <w:lang w:eastAsia="en-AU" w:bidi="ar-SA"/>
        </w:rPr>
        <w:t xml:space="preserve">or </w:t>
      </w:r>
      <w:r w:rsidR="002E756A" w:rsidRPr="002E756A">
        <w:rPr>
          <w:lang w:eastAsia="en-AU" w:bidi="ar-SA"/>
        </w:rPr>
        <w:t xml:space="preserve">by multiple hydrolytic episodes on </w:t>
      </w:r>
      <w:r w:rsidR="00984823">
        <w:rPr>
          <w:lang w:eastAsia="en-AU" w:bidi="ar-SA"/>
        </w:rPr>
        <w:t>numerous bonds</w:t>
      </w:r>
      <w:r w:rsidR="002E756A" w:rsidRPr="002E756A">
        <w:rPr>
          <w:lang w:eastAsia="en-AU" w:bidi="ar-SA"/>
        </w:rPr>
        <w:t xml:space="preserve"> before </w:t>
      </w:r>
      <w:r w:rsidR="00984823">
        <w:rPr>
          <w:lang w:eastAsia="en-AU" w:bidi="ar-SA"/>
        </w:rPr>
        <w:t xml:space="preserve">dissociating </w:t>
      </w:r>
      <w:r w:rsidR="002E756A" w:rsidRPr="002E756A">
        <w:rPr>
          <w:lang w:eastAsia="en-AU" w:bidi="ar-SA"/>
        </w:rPr>
        <w:t xml:space="preserve">from the </w:t>
      </w:r>
      <w:r w:rsidR="00984823">
        <w:rPr>
          <w:lang w:eastAsia="en-AU" w:bidi="ar-SA"/>
        </w:rPr>
        <w:t xml:space="preserve">substrate’s </w:t>
      </w:r>
      <w:r w:rsidR="002E756A" w:rsidRPr="002E756A">
        <w:rPr>
          <w:lang w:eastAsia="en-AU" w:bidi="ar-SA"/>
        </w:rPr>
        <w:t>active site (</w:t>
      </w:r>
      <w:r w:rsidR="002E756A" w:rsidRPr="0098490F">
        <w:rPr>
          <w:lang w:eastAsia="en-AU" w:bidi="ar-SA"/>
        </w:rPr>
        <w:t>Daute et al. 1999</w:t>
      </w:r>
      <w:r w:rsidR="002E756A" w:rsidRPr="002E756A">
        <w:rPr>
          <w:lang w:eastAsia="en-AU" w:bidi="ar-SA"/>
        </w:rPr>
        <w:t>)</w:t>
      </w:r>
      <w:r w:rsidR="00003A8E">
        <w:rPr>
          <w:lang w:eastAsia="en-AU" w:bidi="ar-SA"/>
        </w:rPr>
        <w:t>.</w:t>
      </w:r>
      <w:r w:rsidR="00494076" w:rsidRPr="00494076">
        <w:rPr>
          <w:lang w:eastAsia="en-AU" w:bidi="ar-SA"/>
        </w:rPr>
        <w:t xml:space="preserve"> </w:t>
      </w:r>
      <w:r w:rsidRPr="00494076">
        <w:rPr>
          <w:lang w:eastAsia="en-AU" w:bidi="ar-SA"/>
        </w:rPr>
        <w:t>I</w:t>
      </w:r>
      <w:r w:rsidR="00494076" w:rsidRPr="00494076">
        <w:rPr>
          <w:lang w:eastAsia="en-AU" w:bidi="ar-SA"/>
        </w:rPr>
        <w:t xml:space="preserve">n brewing, the enzyme is added at the mashing step, where it </w:t>
      </w:r>
      <w:r w:rsidRPr="00494076">
        <w:rPr>
          <w:lang w:eastAsia="en-AU" w:bidi="ar-SA"/>
        </w:rPr>
        <w:t xml:space="preserve">hydrolyses the starch </w:t>
      </w:r>
      <w:r w:rsidRPr="00494076">
        <w:rPr>
          <w:lang w:eastAsia="en-AU" w:bidi="ar-SA"/>
        </w:rPr>
        <w:lastRenderedPageBreak/>
        <w:t>containing</w:t>
      </w:r>
      <w:r w:rsidR="00494076" w:rsidRPr="00494076">
        <w:rPr>
          <w:lang w:eastAsia="en-AU" w:bidi="ar-SA"/>
        </w:rPr>
        <w:t xml:space="preserve"> </w:t>
      </w:r>
      <w:r w:rsidRPr="00494076">
        <w:rPr>
          <w:lang w:eastAsia="en-AU" w:bidi="ar-SA"/>
        </w:rPr>
        <w:t xml:space="preserve">substrates to </w:t>
      </w:r>
      <w:r w:rsidR="00494076" w:rsidRPr="00494076">
        <w:rPr>
          <w:lang w:eastAsia="en-AU" w:bidi="ar-SA"/>
        </w:rPr>
        <w:t>release high amounts of</w:t>
      </w:r>
      <w:r w:rsidRPr="00494076">
        <w:rPr>
          <w:lang w:eastAsia="en-AU" w:bidi="ar-SA"/>
        </w:rPr>
        <w:t xml:space="preserve"> simple sugars that support yeast growth during fermentation</w:t>
      </w:r>
      <w:r w:rsidR="00123C9B">
        <w:rPr>
          <w:lang w:eastAsia="en-AU" w:bidi="ar-SA"/>
        </w:rPr>
        <w:t>.</w:t>
      </w:r>
    </w:p>
    <w:p w14:paraId="14C001F4" w14:textId="7932BD95" w:rsidR="00494076" w:rsidRDefault="00494076" w:rsidP="009A2997">
      <w:pPr>
        <w:rPr>
          <w:color w:val="808080" w:themeColor="background1" w:themeShade="80"/>
          <w:lang w:eastAsia="en-AU" w:bidi="ar-SA"/>
        </w:rPr>
      </w:pPr>
    </w:p>
    <w:p w14:paraId="5B72A867" w14:textId="2F5B2367" w:rsidR="00003A8E" w:rsidRDefault="00CB6844" w:rsidP="008E7C68">
      <w:pPr>
        <w:rPr>
          <w:lang w:eastAsia="en-AU" w:bidi="ar-SA"/>
        </w:rPr>
      </w:pPr>
      <w:r w:rsidRPr="00494076">
        <w:rPr>
          <w:lang w:eastAsia="en-AU" w:bidi="ar-SA"/>
        </w:rPr>
        <w:t>Table 1 includes a summary of the physical and chemical properties of the enzyme.</w:t>
      </w:r>
    </w:p>
    <w:p w14:paraId="4EAD9747" w14:textId="77777777" w:rsidR="00123C9B" w:rsidRDefault="00123C9B" w:rsidP="009A2997">
      <w:pPr>
        <w:rPr>
          <w:lang w:eastAsia="en-AU" w:bidi="ar-SA"/>
        </w:rPr>
      </w:pPr>
    </w:p>
    <w:p w14:paraId="1C290F41" w14:textId="5BEA51F6" w:rsidR="00CB6844" w:rsidRPr="00A33BA2" w:rsidRDefault="00CB6844" w:rsidP="00CB6844">
      <w:pPr>
        <w:pStyle w:val="FSTableFigureHeading"/>
        <w:rPr>
          <w:b w:val="0"/>
          <w:color w:val="auto"/>
        </w:rPr>
      </w:pPr>
      <w:r w:rsidRPr="00A33BA2">
        <w:rPr>
          <w:color w:val="auto"/>
        </w:rPr>
        <w:t>Table 1</w:t>
      </w:r>
      <w:r w:rsidRPr="00A33BA2">
        <w:rPr>
          <w:color w:val="auto"/>
        </w:rPr>
        <w:tab/>
      </w:r>
      <w:r w:rsidR="00A33BA2">
        <w:rPr>
          <w:b w:val="0"/>
          <w:color w:val="auto"/>
        </w:rPr>
        <w:t>Maltogenic a</w:t>
      </w:r>
      <w:r w:rsidRPr="00A33BA2">
        <w:rPr>
          <w:b w:val="0"/>
          <w:color w:val="auto"/>
        </w:rPr>
        <w:t>lpha</w:t>
      </w:r>
      <w:r w:rsidR="00A33BA2">
        <w:rPr>
          <w:b w:val="0"/>
          <w:color w:val="auto"/>
        </w:rPr>
        <w:t xml:space="preserve"> </w:t>
      </w:r>
      <w:r w:rsidRPr="00A33BA2">
        <w:rPr>
          <w:b w:val="0"/>
          <w:color w:val="auto"/>
        </w:rPr>
        <w:t>amylase</w:t>
      </w:r>
      <w:r w:rsidRPr="00A33BA2">
        <w:rPr>
          <w:color w:val="auto"/>
        </w:rPr>
        <w:t xml:space="preserve"> </w:t>
      </w:r>
      <w:r w:rsidR="008E7C68" w:rsidRPr="008E7C68">
        <w:rPr>
          <w:b w:val="0"/>
          <w:color w:val="auto"/>
        </w:rPr>
        <w:t>enzyme</w:t>
      </w:r>
      <w:r w:rsidR="008E7C68">
        <w:rPr>
          <w:color w:val="auto"/>
        </w:rPr>
        <w:t xml:space="preserve"> </w:t>
      </w:r>
      <w:r w:rsidRPr="00A33BA2">
        <w:rPr>
          <w:b w:val="0"/>
          <w:color w:val="auto"/>
        </w:rPr>
        <w:t>physical/chemical properties</w:t>
      </w:r>
    </w:p>
    <w:tbl>
      <w:tblPr>
        <w:tblW w:w="0" w:type="auto"/>
        <w:tblInd w:w="-108" w:type="dxa"/>
        <w:tblLayout w:type="fixed"/>
        <w:tblLook w:val="0000" w:firstRow="0" w:lastRow="0" w:firstColumn="0" w:lastColumn="0" w:noHBand="0" w:noVBand="0"/>
        <w:tblDescription w:val="Physical and chemical properties of the enzyme preparation, acitivity, appearance, temperature and pH optimum and temperature and storage stability"/>
      </w:tblPr>
      <w:tblGrid>
        <w:gridCol w:w="2943"/>
        <w:gridCol w:w="4395"/>
      </w:tblGrid>
      <w:tr w:rsidR="00CB6844" w:rsidRPr="00CB6844" w14:paraId="670D5857" w14:textId="77777777" w:rsidTr="005F4318">
        <w:trPr>
          <w:trHeight w:val="108"/>
        </w:trPr>
        <w:tc>
          <w:tcPr>
            <w:tcW w:w="7338" w:type="dxa"/>
            <w:gridSpan w:val="2"/>
            <w:shd w:val="clear" w:color="auto" w:fill="616571"/>
            <w:vAlign w:val="center"/>
          </w:tcPr>
          <w:p w14:paraId="6E3AF672" w14:textId="009CFE38" w:rsidR="00CB6844" w:rsidRPr="00CB6844" w:rsidRDefault="00CB6844" w:rsidP="00123C9B">
            <w:pPr>
              <w:spacing w:before="120" w:after="120"/>
              <w:ind w:left="170" w:right="284"/>
              <w:jc w:val="center"/>
              <w:rPr>
                <w:b/>
                <w:color w:val="BFBFBF" w:themeColor="background1" w:themeShade="BF"/>
                <w:sz w:val="20"/>
                <w:highlight w:val="yellow"/>
                <w:lang w:eastAsia="en-GB"/>
              </w:rPr>
            </w:pPr>
            <w:r w:rsidRPr="00AF6310">
              <w:rPr>
                <w:b/>
                <w:color w:val="FFFFFF" w:themeColor="background1"/>
                <w:sz w:val="20"/>
                <w:lang w:eastAsia="en-GB"/>
              </w:rPr>
              <w:t xml:space="preserve">Physical/chemical properties </w:t>
            </w:r>
          </w:p>
        </w:tc>
      </w:tr>
      <w:tr w:rsidR="00CB6844" w:rsidRPr="00A33BA2" w14:paraId="4CC24DC5" w14:textId="77777777" w:rsidTr="005F4318">
        <w:trPr>
          <w:trHeight w:val="465"/>
        </w:trPr>
        <w:tc>
          <w:tcPr>
            <w:tcW w:w="2943" w:type="dxa"/>
            <w:shd w:val="clear" w:color="auto" w:fill="ECECEC"/>
            <w:vAlign w:val="center"/>
          </w:tcPr>
          <w:p w14:paraId="0602F539" w14:textId="77777777" w:rsidR="00CB6844" w:rsidRPr="00A33BA2" w:rsidRDefault="00CB6844" w:rsidP="005F4318">
            <w:pPr>
              <w:autoSpaceDE w:val="0"/>
              <w:autoSpaceDN w:val="0"/>
              <w:adjustRightInd w:val="0"/>
              <w:rPr>
                <w:rFonts w:cs="Arial"/>
                <w:sz w:val="20"/>
                <w:szCs w:val="20"/>
              </w:rPr>
            </w:pPr>
            <w:r w:rsidRPr="00A33BA2">
              <w:rPr>
                <w:rFonts w:cs="Arial"/>
                <w:sz w:val="20"/>
                <w:szCs w:val="20"/>
              </w:rPr>
              <w:t>Enzyme activity</w:t>
            </w:r>
          </w:p>
        </w:tc>
        <w:tc>
          <w:tcPr>
            <w:tcW w:w="4395" w:type="dxa"/>
            <w:shd w:val="clear" w:color="auto" w:fill="ECECEC"/>
            <w:vAlign w:val="center"/>
          </w:tcPr>
          <w:p w14:paraId="3A864999" w14:textId="2C720953" w:rsidR="00CB6844" w:rsidRPr="00A33BA2" w:rsidRDefault="00AF6310" w:rsidP="005F4318">
            <w:pPr>
              <w:autoSpaceDE w:val="0"/>
              <w:autoSpaceDN w:val="0"/>
              <w:adjustRightInd w:val="0"/>
              <w:rPr>
                <w:rFonts w:cs="Arial"/>
                <w:sz w:val="20"/>
                <w:szCs w:val="20"/>
              </w:rPr>
            </w:pPr>
            <w:r w:rsidRPr="00AF6310">
              <w:rPr>
                <w:rFonts w:cs="Arial"/>
                <w:sz w:val="20"/>
                <w:szCs w:val="20"/>
              </w:rPr>
              <w:t>Not less than 100,000 MAN U/g</w:t>
            </w:r>
            <w:r>
              <w:rPr>
                <w:rFonts w:cs="Arial"/>
                <w:sz w:val="20"/>
                <w:szCs w:val="20"/>
              </w:rPr>
              <w:t>*</w:t>
            </w:r>
          </w:p>
        </w:tc>
      </w:tr>
      <w:tr w:rsidR="00CB6844" w:rsidRPr="00A33BA2" w14:paraId="6A0EBD5B" w14:textId="77777777" w:rsidTr="005F4318">
        <w:trPr>
          <w:trHeight w:val="465"/>
        </w:trPr>
        <w:tc>
          <w:tcPr>
            <w:tcW w:w="2943" w:type="dxa"/>
            <w:shd w:val="clear" w:color="auto" w:fill="auto"/>
            <w:vAlign w:val="center"/>
          </w:tcPr>
          <w:p w14:paraId="552E5A94" w14:textId="77777777" w:rsidR="00CB6844" w:rsidRPr="00A33BA2" w:rsidRDefault="00CB6844" w:rsidP="005F4318">
            <w:pPr>
              <w:autoSpaceDE w:val="0"/>
              <w:autoSpaceDN w:val="0"/>
              <w:adjustRightInd w:val="0"/>
              <w:rPr>
                <w:rFonts w:cs="Arial"/>
                <w:sz w:val="20"/>
                <w:szCs w:val="20"/>
              </w:rPr>
            </w:pPr>
            <w:r w:rsidRPr="00A33BA2">
              <w:rPr>
                <w:rFonts w:cs="Arial"/>
                <w:sz w:val="20"/>
                <w:szCs w:val="20"/>
              </w:rPr>
              <w:t>Appearance</w:t>
            </w:r>
          </w:p>
        </w:tc>
        <w:tc>
          <w:tcPr>
            <w:tcW w:w="4395" w:type="dxa"/>
            <w:shd w:val="clear" w:color="auto" w:fill="auto"/>
            <w:vAlign w:val="center"/>
          </w:tcPr>
          <w:p w14:paraId="6E55BBB3" w14:textId="0765A10A" w:rsidR="00CB6844" w:rsidRPr="00A33BA2" w:rsidRDefault="00AF6310" w:rsidP="005F4318">
            <w:pPr>
              <w:autoSpaceDE w:val="0"/>
              <w:autoSpaceDN w:val="0"/>
              <w:adjustRightInd w:val="0"/>
              <w:rPr>
                <w:rFonts w:cs="Arial"/>
                <w:sz w:val="20"/>
                <w:szCs w:val="20"/>
              </w:rPr>
            </w:pPr>
            <w:r w:rsidRPr="00AF6310">
              <w:rPr>
                <w:rFonts w:cs="Arial"/>
                <w:sz w:val="20"/>
                <w:szCs w:val="20"/>
              </w:rPr>
              <w:t>Light brown to brown colo</w:t>
            </w:r>
            <w:r>
              <w:rPr>
                <w:rFonts w:cs="Arial"/>
                <w:sz w:val="20"/>
                <w:szCs w:val="20"/>
              </w:rPr>
              <w:t>u</w:t>
            </w:r>
            <w:r w:rsidRPr="00AF6310">
              <w:rPr>
                <w:rFonts w:cs="Arial"/>
                <w:sz w:val="20"/>
                <w:szCs w:val="20"/>
              </w:rPr>
              <w:t>red powder with characteristics odo</w:t>
            </w:r>
            <w:r>
              <w:rPr>
                <w:rFonts w:cs="Arial"/>
                <w:sz w:val="20"/>
                <w:szCs w:val="20"/>
              </w:rPr>
              <w:t>u</w:t>
            </w:r>
            <w:r w:rsidRPr="00AF6310">
              <w:rPr>
                <w:rFonts w:cs="Arial"/>
                <w:sz w:val="20"/>
                <w:szCs w:val="20"/>
              </w:rPr>
              <w:t>r</w:t>
            </w:r>
          </w:p>
        </w:tc>
      </w:tr>
      <w:tr w:rsidR="00CB6844" w:rsidRPr="00A33BA2" w14:paraId="5102955A" w14:textId="77777777" w:rsidTr="005F4318">
        <w:trPr>
          <w:trHeight w:val="465"/>
        </w:trPr>
        <w:tc>
          <w:tcPr>
            <w:tcW w:w="2943" w:type="dxa"/>
            <w:shd w:val="clear" w:color="auto" w:fill="ECECEC"/>
            <w:vAlign w:val="center"/>
          </w:tcPr>
          <w:p w14:paraId="52834BA9" w14:textId="77777777" w:rsidR="00CB6844" w:rsidRPr="00A33BA2" w:rsidRDefault="00CB6844" w:rsidP="005F4318">
            <w:pPr>
              <w:autoSpaceDE w:val="0"/>
              <w:autoSpaceDN w:val="0"/>
              <w:adjustRightInd w:val="0"/>
              <w:rPr>
                <w:rFonts w:cs="Arial"/>
                <w:sz w:val="20"/>
                <w:szCs w:val="20"/>
              </w:rPr>
            </w:pPr>
            <w:r w:rsidRPr="00A33BA2">
              <w:rPr>
                <w:rFonts w:cs="Arial"/>
                <w:sz w:val="20"/>
                <w:szCs w:val="20"/>
              </w:rPr>
              <w:t>Temperature optimum</w:t>
            </w:r>
          </w:p>
        </w:tc>
        <w:tc>
          <w:tcPr>
            <w:tcW w:w="4395" w:type="dxa"/>
            <w:shd w:val="clear" w:color="auto" w:fill="ECECEC"/>
            <w:vAlign w:val="center"/>
          </w:tcPr>
          <w:p w14:paraId="11FA790D" w14:textId="5D4484D1" w:rsidR="00CB6844" w:rsidRPr="00A33BA2" w:rsidRDefault="00AF6310" w:rsidP="005F4318">
            <w:pPr>
              <w:autoSpaceDE w:val="0"/>
              <w:autoSpaceDN w:val="0"/>
              <w:adjustRightInd w:val="0"/>
              <w:rPr>
                <w:rFonts w:cs="Arial"/>
                <w:sz w:val="20"/>
                <w:szCs w:val="20"/>
              </w:rPr>
            </w:pPr>
            <w:r w:rsidRPr="00AF6310">
              <w:rPr>
                <w:rFonts w:cs="Arial"/>
                <w:sz w:val="20"/>
                <w:szCs w:val="20"/>
              </w:rPr>
              <w:t>60°C</w:t>
            </w:r>
          </w:p>
        </w:tc>
      </w:tr>
      <w:tr w:rsidR="00AF6310" w:rsidRPr="00A33BA2" w14:paraId="4242ABDB" w14:textId="77777777" w:rsidTr="005F4318">
        <w:trPr>
          <w:trHeight w:val="465"/>
        </w:trPr>
        <w:tc>
          <w:tcPr>
            <w:tcW w:w="2943" w:type="dxa"/>
            <w:shd w:val="clear" w:color="auto" w:fill="FFFFFF" w:themeFill="background1"/>
            <w:vAlign w:val="center"/>
          </w:tcPr>
          <w:p w14:paraId="6B288F49" w14:textId="77777777" w:rsidR="00CB6844" w:rsidRPr="00A33BA2" w:rsidRDefault="00CB6844" w:rsidP="005F4318">
            <w:pPr>
              <w:autoSpaceDE w:val="0"/>
              <w:autoSpaceDN w:val="0"/>
              <w:adjustRightInd w:val="0"/>
              <w:rPr>
                <w:rFonts w:cs="Arial"/>
                <w:sz w:val="20"/>
                <w:szCs w:val="20"/>
              </w:rPr>
            </w:pPr>
            <w:r w:rsidRPr="00A33BA2">
              <w:rPr>
                <w:rFonts w:cs="Arial"/>
                <w:sz w:val="20"/>
                <w:szCs w:val="20"/>
              </w:rPr>
              <w:t>Temperature stability</w:t>
            </w:r>
          </w:p>
        </w:tc>
        <w:tc>
          <w:tcPr>
            <w:tcW w:w="4395" w:type="dxa"/>
            <w:shd w:val="clear" w:color="auto" w:fill="FFFFFF" w:themeFill="background1"/>
            <w:vAlign w:val="center"/>
          </w:tcPr>
          <w:p w14:paraId="0E0DCB73" w14:textId="1BF890BD" w:rsidR="00CB6844" w:rsidRPr="00A33BA2" w:rsidRDefault="00AF6310" w:rsidP="00AF6310">
            <w:pPr>
              <w:autoSpaceDE w:val="0"/>
              <w:autoSpaceDN w:val="0"/>
              <w:adjustRightInd w:val="0"/>
              <w:rPr>
                <w:rFonts w:cs="Arial"/>
                <w:sz w:val="20"/>
                <w:szCs w:val="20"/>
              </w:rPr>
            </w:pPr>
            <w:r>
              <w:rPr>
                <w:rFonts w:cs="Arial"/>
                <w:sz w:val="20"/>
                <w:szCs w:val="20"/>
              </w:rPr>
              <w:t>S</w:t>
            </w:r>
            <w:r w:rsidRPr="00AF6310">
              <w:rPr>
                <w:rFonts w:cs="Arial"/>
                <w:sz w:val="20"/>
                <w:szCs w:val="20"/>
              </w:rPr>
              <w:t>table between 25</w:t>
            </w:r>
            <w:r>
              <w:rPr>
                <w:rFonts w:cs="Arial"/>
                <w:sz w:val="20"/>
                <w:szCs w:val="20"/>
              </w:rPr>
              <w:t>-</w:t>
            </w:r>
            <w:r w:rsidRPr="00AF6310">
              <w:rPr>
                <w:rFonts w:cs="Arial"/>
                <w:sz w:val="20"/>
                <w:szCs w:val="20"/>
              </w:rPr>
              <w:t>65°C for 2 hours</w:t>
            </w:r>
          </w:p>
        </w:tc>
      </w:tr>
      <w:tr w:rsidR="00AF6310" w:rsidRPr="00A33BA2" w14:paraId="7BA66461" w14:textId="77777777" w:rsidTr="005F4318">
        <w:trPr>
          <w:trHeight w:val="465"/>
        </w:trPr>
        <w:tc>
          <w:tcPr>
            <w:tcW w:w="2943" w:type="dxa"/>
            <w:shd w:val="clear" w:color="auto" w:fill="ECECEC"/>
            <w:vAlign w:val="center"/>
          </w:tcPr>
          <w:p w14:paraId="12C7C96D" w14:textId="77777777" w:rsidR="00CB6844" w:rsidRPr="00A33BA2" w:rsidRDefault="00CB6844" w:rsidP="005F4318">
            <w:pPr>
              <w:autoSpaceDE w:val="0"/>
              <w:autoSpaceDN w:val="0"/>
              <w:adjustRightInd w:val="0"/>
              <w:rPr>
                <w:rFonts w:cs="Arial"/>
                <w:sz w:val="20"/>
                <w:szCs w:val="20"/>
              </w:rPr>
            </w:pPr>
            <w:r w:rsidRPr="00A33BA2">
              <w:rPr>
                <w:rFonts w:cs="Arial"/>
                <w:sz w:val="20"/>
                <w:szCs w:val="20"/>
              </w:rPr>
              <w:t>pH optimum</w:t>
            </w:r>
          </w:p>
        </w:tc>
        <w:tc>
          <w:tcPr>
            <w:tcW w:w="4395" w:type="dxa"/>
            <w:shd w:val="clear" w:color="auto" w:fill="ECECEC"/>
            <w:vAlign w:val="center"/>
          </w:tcPr>
          <w:p w14:paraId="15871E69" w14:textId="4F8A2E6F" w:rsidR="00CB6844" w:rsidRPr="00A33BA2" w:rsidRDefault="00AF6310" w:rsidP="005F4318">
            <w:pPr>
              <w:autoSpaceDE w:val="0"/>
              <w:autoSpaceDN w:val="0"/>
              <w:adjustRightInd w:val="0"/>
              <w:rPr>
                <w:rFonts w:cs="Arial"/>
                <w:sz w:val="20"/>
                <w:szCs w:val="20"/>
              </w:rPr>
            </w:pPr>
            <w:r>
              <w:rPr>
                <w:rFonts w:cs="Arial"/>
                <w:sz w:val="20"/>
                <w:szCs w:val="20"/>
              </w:rPr>
              <w:t>5.0</w:t>
            </w:r>
          </w:p>
        </w:tc>
      </w:tr>
      <w:tr w:rsidR="00AF6310" w:rsidRPr="00A33BA2" w14:paraId="431AB785" w14:textId="77777777" w:rsidTr="005F4318">
        <w:trPr>
          <w:trHeight w:val="465"/>
        </w:trPr>
        <w:tc>
          <w:tcPr>
            <w:tcW w:w="2943" w:type="dxa"/>
            <w:tcBorders>
              <w:bottom w:val="single" w:sz="4" w:space="0" w:color="ECECEC"/>
            </w:tcBorders>
            <w:shd w:val="clear" w:color="auto" w:fill="auto"/>
            <w:vAlign w:val="center"/>
          </w:tcPr>
          <w:p w14:paraId="3965CCF5" w14:textId="3EAB100D" w:rsidR="00CB6844" w:rsidRPr="00A33BA2" w:rsidRDefault="00AF6310" w:rsidP="00AF6310">
            <w:pPr>
              <w:autoSpaceDE w:val="0"/>
              <w:autoSpaceDN w:val="0"/>
              <w:adjustRightInd w:val="0"/>
              <w:rPr>
                <w:rFonts w:cs="Arial"/>
                <w:sz w:val="20"/>
                <w:szCs w:val="20"/>
              </w:rPr>
            </w:pPr>
            <w:r>
              <w:rPr>
                <w:rFonts w:cs="Arial"/>
                <w:sz w:val="20"/>
                <w:szCs w:val="20"/>
              </w:rPr>
              <w:t>pH stability</w:t>
            </w:r>
          </w:p>
        </w:tc>
        <w:tc>
          <w:tcPr>
            <w:tcW w:w="4395" w:type="dxa"/>
            <w:tcBorders>
              <w:bottom w:val="single" w:sz="4" w:space="0" w:color="ECECEC"/>
            </w:tcBorders>
            <w:shd w:val="clear" w:color="auto" w:fill="auto"/>
            <w:vAlign w:val="center"/>
          </w:tcPr>
          <w:p w14:paraId="1174A641" w14:textId="08ED8032" w:rsidR="00CB6844" w:rsidRPr="00A33BA2" w:rsidRDefault="00AF6310" w:rsidP="00AF6310">
            <w:pPr>
              <w:autoSpaceDE w:val="0"/>
              <w:autoSpaceDN w:val="0"/>
              <w:adjustRightInd w:val="0"/>
              <w:rPr>
                <w:rFonts w:cs="Arial"/>
                <w:sz w:val="20"/>
                <w:szCs w:val="20"/>
              </w:rPr>
            </w:pPr>
            <w:r>
              <w:rPr>
                <w:rFonts w:cs="Arial"/>
                <w:sz w:val="20"/>
                <w:szCs w:val="20"/>
              </w:rPr>
              <w:t xml:space="preserve">Stable between </w:t>
            </w:r>
            <w:r w:rsidRPr="00AF6310">
              <w:rPr>
                <w:rFonts w:cs="Arial"/>
                <w:sz w:val="20"/>
                <w:szCs w:val="20"/>
              </w:rPr>
              <w:t>4.0</w:t>
            </w:r>
            <w:r>
              <w:rPr>
                <w:rFonts w:cs="Arial"/>
                <w:sz w:val="20"/>
                <w:szCs w:val="20"/>
              </w:rPr>
              <w:t>-</w:t>
            </w:r>
            <w:r w:rsidRPr="00AF6310">
              <w:rPr>
                <w:rFonts w:cs="Arial"/>
                <w:sz w:val="20"/>
                <w:szCs w:val="20"/>
              </w:rPr>
              <w:t>5.5 for 4 hours</w:t>
            </w:r>
          </w:p>
        </w:tc>
      </w:tr>
    </w:tbl>
    <w:p w14:paraId="4849C9FA" w14:textId="3EC0BA79" w:rsidR="00CB6844" w:rsidRPr="00CB6844" w:rsidRDefault="00CB6844" w:rsidP="00CB6844">
      <w:pPr>
        <w:rPr>
          <w:color w:val="BFBFBF" w:themeColor="background1" w:themeShade="BF"/>
        </w:rPr>
      </w:pPr>
      <w:r w:rsidRPr="00A33BA2">
        <w:rPr>
          <w:sz w:val="18"/>
          <w:szCs w:val="18"/>
        </w:rPr>
        <w:t>*</w:t>
      </w:r>
      <w:r w:rsidR="00AF6310" w:rsidRPr="00AF6310">
        <w:rPr>
          <w:sz w:val="18"/>
          <w:szCs w:val="18"/>
        </w:rPr>
        <w:t>One unit of enzyme activity is defined as the amount of enzyme that cleaves 1 μmol of maltotriose per minute under the given assay conditions.</w:t>
      </w:r>
    </w:p>
    <w:p w14:paraId="51D64A92" w14:textId="77777777" w:rsidR="00CB6844" w:rsidRPr="00CB6844" w:rsidRDefault="00CB6844" w:rsidP="00CB6844">
      <w:pPr>
        <w:rPr>
          <w:color w:val="BFBFBF" w:themeColor="background1" w:themeShade="BF"/>
        </w:rPr>
      </w:pPr>
    </w:p>
    <w:p w14:paraId="5A6229DE" w14:textId="77777777" w:rsidR="00465496" w:rsidRDefault="00465496" w:rsidP="008B4386"/>
    <w:p w14:paraId="0B8BA7E8" w14:textId="0CA4CF96" w:rsidR="00417366" w:rsidRDefault="008B4386" w:rsidP="008B4386">
      <w:pPr>
        <w:rPr>
          <w:color w:val="BFBFBF" w:themeColor="background1" w:themeShade="BF"/>
        </w:rPr>
      </w:pPr>
      <w:r>
        <w:t>The applicant</w:t>
      </w:r>
      <w:r w:rsidR="008E7C68">
        <w:t xml:space="preserve"> provided the results of a </w:t>
      </w:r>
      <w:r>
        <w:t>characterisation study of the enzyme</w:t>
      </w:r>
      <w:r w:rsidR="008E7C68">
        <w:t xml:space="preserve">, indicating that </w:t>
      </w:r>
      <w:r>
        <w:t xml:space="preserve"> it is stable up to 65</w:t>
      </w:r>
      <w:r>
        <w:rPr>
          <w:rFonts w:cs="Arial"/>
        </w:rPr>
        <w:t>°</w:t>
      </w:r>
      <w:r>
        <w:t xml:space="preserve">C and that it exhibits good activity and stability </w:t>
      </w:r>
      <w:r w:rsidRPr="00BA441B">
        <w:t>in acidic</w:t>
      </w:r>
      <w:r>
        <w:t xml:space="preserve"> conditions. This is advantageous to food manufacturers because the enzyme can be used in processing conditions that </w:t>
      </w:r>
      <w:r w:rsidR="008E7C68">
        <w:t xml:space="preserve">are at lower </w:t>
      </w:r>
      <w:r>
        <w:t xml:space="preserve">risk of microbial </w:t>
      </w:r>
      <w:r w:rsidRPr="00BA441B">
        <w:t>contamination</w:t>
      </w:r>
      <w:r w:rsidR="005A5843">
        <w:t>, which is useful from a food safety perspective</w:t>
      </w:r>
      <w:r>
        <w:t>.</w:t>
      </w:r>
      <w:r w:rsidRPr="00CB6844">
        <w:rPr>
          <w:color w:val="BFBFBF" w:themeColor="background1" w:themeShade="BF"/>
        </w:rPr>
        <w:t xml:space="preserve"> </w:t>
      </w:r>
    </w:p>
    <w:p w14:paraId="2F3B679B" w14:textId="77777777" w:rsidR="00417366" w:rsidRDefault="00417366" w:rsidP="008B4386">
      <w:pPr>
        <w:rPr>
          <w:color w:val="BFBFBF" w:themeColor="background1" w:themeShade="BF"/>
        </w:rPr>
      </w:pPr>
    </w:p>
    <w:p w14:paraId="6262FA25" w14:textId="2BD8E7DC" w:rsidR="00736AD5" w:rsidRPr="00CB6844" w:rsidRDefault="008B4386" w:rsidP="00736AD5">
      <w:pPr>
        <w:rPr>
          <w:color w:val="BFBFBF" w:themeColor="background1" w:themeShade="BF"/>
        </w:rPr>
      </w:pPr>
      <w:r w:rsidRPr="005C079E">
        <w:t xml:space="preserve">The applicant claims and FSANZ agrees that </w:t>
      </w:r>
      <w:r>
        <w:t>maltogenic alpha amylase</w:t>
      </w:r>
      <w:r w:rsidRPr="005C079E">
        <w:t xml:space="preserve"> performs its </w:t>
      </w:r>
      <w:r>
        <w:t xml:space="preserve">primary </w:t>
      </w:r>
      <w:r w:rsidRPr="005C079E">
        <w:t>technological function during food processing</w:t>
      </w:r>
      <w:r w:rsidR="008E7C68">
        <w:t xml:space="preserve"> and, as such, meets the definition of a processing aid</w:t>
      </w:r>
      <w:r w:rsidRPr="005C079E">
        <w:t>.</w:t>
      </w:r>
      <w:r w:rsidR="00845AA0" w:rsidRPr="00123C9B">
        <w:t xml:space="preserve"> </w:t>
      </w:r>
      <w:r w:rsidR="00845AA0" w:rsidRPr="005C079E">
        <w:t xml:space="preserve">The applicant states that the highest </w:t>
      </w:r>
      <w:r w:rsidR="00845AA0">
        <w:t>recommended dose for its intended uses is 33.90 mg Total Organic Solids (TOS)</w:t>
      </w:r>
      <w:r w:rsidR="00845AA0">
        <w:rPr>
          <w:rStyle w:val="FootnoteReference"/>
        </w:rPr>
        <w:footnoteReference w:id="6"/>
      </w:r>
      <w:r w:rsidR="00845AA0">
        <w:t xml:space="preserve"> per kilogram of raw material.</w:t>
      </w:r>
      <w:r w:rsidR="00845AA0" w:rsidRPr="005C079E">
        <w:t xml:space="preserve"> </w:t>
      </w:r>
    </w:p>
    <w:p w14:paraId="396ABA0F" w14:textId="00FBD866" w:rsidR="00CB6844" w:rsidRPr="00CB6844" w:rsidRDefault="00CB6844" w:rsidP="00477F42">
      <w:pPr>
        <w:pStyle w:val="Heading3"/>
      </w:pPr>
      <w:bookmarkStart w:id="45" w:name="_Toc26363005"/>
      <w:bookmarkStart w:id="46" w:name="_Toc30154597"/>
      <w:bookmarkStart w:id="47" w:name="_Toc85204760"/>
      <w:bookmarkStart w:id="48" w:name="_Toc85211322"/>
      <w:bookmarkStart w:id="49" w:name="_Toc87259297"/>
      <w:r w:rsidRPr="00CB6844">
        <w:lastRenderedPageBreak/>
        <w:t>2.1.3</w:t>
      </w:r>
      <w:r w:rsidRPr="00CB6844">
        <w:tab/>
        <w:t>Technological justification for the enzyme</w:t>
      </w:r>
      <w:bookmarkEnd w:id="45"/>
      <w:bookmarkEnd w:id="46"/>
      <w:bookmarkEnd w:id="47"/>
      <w:bookmarkEnd w:id="48"/>
      <w:bookmarkEnd w:id="49"/>
    </w:p>
    <w:p w14:paraId="626B7C9D" w14:textId="0071A6E4" w:rsidR="0043388C" w:rsidRPr="00711FDE" w:rsidRDefault="0043388C" w:rsidP="00CB6844">
      <w:r>
        <w:t xml:space="preserve">The specific </w:t>
      </w:r>
      <w:r w:rsidRPr="0043388C">
        <w:t xml:space="preserve">benefits of the action of the </w:t>
      </w:r>
      <w:r>
        <w:t xml:space="preserve">maltogenic </w:t>
      </w:r>
      <w:r w:rsidRPr="0043388C">
        <w:t>alpha</w:t>
      </w:r>
      <w:r>
        <w:t xml:space="preserve"> </w:t>
      </w:r>
      <w:r w:rsidRPr="0043388C">
        <w:t xml:space="preserve">amylase in </w:t>
      </w:r>
      <w:r>
        <w:t>baking, brewing and starch processing are described below.</w:t>
      </w:r>
    </w:p>
    <w:p w14:paraId="0FE66C7C" w14:textId="4C5A0313" w:rsidR="00711FDE" w:rsidRDefault="00711FDE" w:rsidP="00CB6844">
      <w:pPr>
        <w:rPr>
          <w:color w:val="BFBFBF" w:themeColor="background1" w:themeShade="BF"/>
        </w:rPr>
      </w:pPr>
    </w:p>
    <w:p w14:paraId="3434DEA6" w14:textId="44A53849" w:rsidR="00003A8E" w:rsidRPr="0043388C" w:rsidRDefault="00003A8E" w:rsidP="00CB6844">
      <w:pPr>
        <w:rPr>
          <w:u w:val="single"/>
        </w:rPr>
      </w:pPr>
      <w:r w:rsidRPr="0043388C">
        <w:rPr>
          <w:u w:val="single"/>
        </w:rPr>
        <w:t>Baking</w:t>
      </w:r>
    </w:p>
    <w:p w14:paraId="0AB4E9BE" w14:textId="6ACD18A3" w:rsidR="006B41A6" w:rsidRDefault="00845AA0" w:rsidP="0043388C">
      <w:r>
        <w:rPr>
          <w:lang w:eastAsia="en-AU" w:bidi="ar-SA"/>
        </w:rPr>
        <w:t>I</w:t>
      </w:r>
      <w:r w:rsidR="00003A8E" w:rsidRPr="00494076">
        <w:rPr>
          <w:lang w:eastAsia="en-AU" w:bidi="ar-SA"/>
        </w:rPr>
        <w:t xml:space="preserve">n baking, </w:t>
      </w:r>
      <w:r w:rsidR="0043388C">
        <w:rPr>
          <w:lang w:eastAsia="en-AU" w:bidi="ar-SA"/>
        </w:rPr>
        <w:t>maltogenic alpha amylase</w:t>
      </w:r>
      <w:r w:rsidR="00003A8E" w:rsidRPr="00494076">
        <w:rPr>
          <w:lang w:eastAsia="en-AU" w:bidi="ar-SA"/>
        </w:rPr>
        <w:t xml:space="preserve"> is added to the raw mate</w:t>
      </w:r>
      <w:r>
        <w:rPr>
          <w:lang w:eastAsia="en-AU" w:bidi="ar-SA"/>
        </w:rPr>
        <w:t>rials during dough preparation</w:t>
      </w:r>
      <w:r w:rsidR="006B41A6">
        <w:rPr>
          <w:lang w:eastAsia="en-AU" w:bidi="ar-SA"/>
        </w:rPr>
        <w:t xml:space="preserve"> to catalyse the </w:t>
      </w:r>
      <w:r>
        <w:t>rapid hydrolysis of amylopectin form</w:t>
      </w:r>
      <w:r w:rsidR="006B41A6">
        <w:t>ing</w:t>
      </w:r>
      <w:r>
        <w:t xml:space="preserve"> </w:t>
      </w:r>
      <w:r w:rsidRPr="006B41A6">
        <w:t>oligosaccharides with different degrees of polymerization (DP)</w:t>
      </w:r>
      <w:r w:rsidRPr="006B41A6">
        <w:rPr>
          <w:rStyle w:val="FootnoteReference"/>
        </w:rPr>
        <w:footnoteReference w:id="7"/>
      </w:r>
      <w:r w:rsidRPr="006B41A6">
        <w:t xml:space="preserve"> i.e. maltose, glucose, maltotriose and maltotetraose.</w:t>
      </w:r>
      <w:r w:rsidR="006B41A6">
        <w:t xml:space="preserve"> </w:t>
      </w:r>
      <w:r w:rsidR="00003A8E" w:rsidRPr="006B41A6">
        <w:rPr>
          <w:lang w:eastAsia="en-AU" w:bidi="ar-SA"/>
        </w:rPr>
        <w:t>T</w:t>
      </w:r>
      <w:r w:rsidR="006B41A6">
        <w:rPr>
          <w:lang w:eastAsia="en-AU" w:bidi="ar-SA"/>
        </w:rPr>
        <w:t>his</w:t>
      </w:r>
      <w:r w:rsidR="00003A8E" w:rsidRPr="006B41A6">
        <w:rPr>
          <w:lang w:eastAsia="en-AU" w:bidi="ar-SA"/>
        </w:rPr>
        <w:t xml:space="preserve"> selective hydrolysis of starch prevents retrogradation, </w:t>
      </w:r>
      <w:r w:rsidR="0043388C" w:rsidRPr="006B41A6">
        <w:rPr>
          <w:lang w:eastAsia="en-AU" w:bidi="ar-SA"/>
        </w:rPr>
        <w:t>i</w:t>
      </w:r>
      <w:r w:rsidR="0043388C" w:rsidRPr="006B41A6">
        <w:t xml:space="preserve">mparting anti-staling benefits in baked products such as breads, thereby extending shelf life. </w:t>
      </w:r>
      <w:r w:rsidR="00290FEC">
        <w:t xml:space="preserve">The applicant’s study </w:t>
      </w:r>
      <w:r w:rsidR="002F6E10">
        <w:t xml:space="preserve">at Annex M2 of the application </w:t>
      </w:r>
      <w:r w:rsidR="002734D8">
        <w:t>examined</w:t>
      </w:r>
      <w:r w:rsidR="00B61B9E">
        <w:t xml:space="preserve"> </w:t>
      </w:r>
      <w:r w:rsidR="00290FEC">
        <w:t xml:space="preserve">the effect of maltogenic alpha amylase on </w:t>
      </w:r>
      <w:r w:rsidR="002734D8">
        <w:t xml:space="preserve">a number of characteristics of </w:t>
      </w:r>
      <w:r w:rsidR="00290FEC">
        <w:t xml:space="preserve">bread </w:t>
      </w:r>
      <w:r w:rsidR="002734D8">
        <w:t xml:space="preserve">including </w:t>
      </w:r>
      <w:r w:rsidR="00290FEC">
        <w:t>shelf life</w:t>
      </w:r>
      <w:r w:rsidR="00B61B9E">
        <w:t>. It</w:t>
      </w:r>
      <w:r w:rsidR="00290FEC">
        <w:t xml:space="preserve"> indicated that loaf bread baked with the enzyme </w:t>
      </w:r>
      <w:r w:rsidR="00992118">
        <w:t>had a</w:t>
      </w:r>
      <w:r w:rsidR="00290FEC">
        <w:t xml:space="preserve"> shelf life of </w:t>
      </w:r>
      <w:r w:rsidR="00600219">
        <w:t xml:space="preserve">up to </w:t>
      </w:r>
      <w:r w:rsidR="00290FEC">
        <w:t>8 days</w:t>
      </w:r>
      <w:r w:rsidR="00600219">
        <w:t xml:space="preserve"> </w:t>
      </w:r>
      <w:r w:rsidR="00992118">
        <w:t>more than that of</w:t>
      </w:r>
      <w:r w:rsidR="00290FEC">
        <w:t xml:space="preserve"> the control</w:t>
      </w:r>
      <w:r w:rsidR="00600219">
        <w:t xml:space="preserve"> baked without the addition of maltogenic alpha amylase (measured by day of first appearance of mould)</w:t>
      </w:r>
      <w:r w:rsidR="00290FEC">
        <w:t xml:space="preserve"> </w:t>
      </w:r>
      <w:r w:rsidR="00600219">
        <w:t>(p 9 of Annex M2).</w:t>
      </w:r>
      <w:r w:rsidR="00290FEC">
        <w:t xml:space="preserve"> </w:t>
      </w:r>
    </w:p>
    <w:p w14:paraId="632977AD" w14:textId="77777777" w:rsidR="006B41A6" w:rsidRDefault="006B41A6" w:rsidP="0043388C"/>
    <w:p w14:paraId="1970F6E0" w14:textId="4A23D478" w:rsidR="0043388C" w:rsidRPr="006B41A6" w:rsidRDefault="006B41A6" w:rsidP="0043388C">
      <w:r>
        <w:t xml:space="preserve">Other </w:t>
      </w:r>
      <w:r w:rsidR="00290FEC">
        <w:t xml:space="preserve">benefits relate to the sensory properties of baked products </w:t>
      </w:r>
      <w:r w:rsidR="002A4F58">
        <w:t xml:space="preserve">and </w:t>
      </w:r>
      <w:r w:rsidR="00290FEC">
        <w:t>include e</w:t>
      </w:r>
      <w:r w:rsidR="0043388C" w:rsidRPr="006B41A6">
        <w:t>nhanc</w:t>
      </w:r>
      <w:r w:rsidR="00290FEC">
        <w:t>ed</w:t>
      </w:r>
      <w:r w:rsidR="0043388C" w:rsidRPr="006B41A6">
        <w:t xml:space="preserve"> crumb softness, </w:t>
      </w:r>
      <w:r w:rsidR="00290FEC">
        <w:t xml:space="preserve">crumb moisture retention, </w:t>
      </w:r>
      <w:r w:rsidR="0043388C" w:rsidRPr="006B41A6">
        <w:t xml:space="preserve">resilience, loaf </w:t>
      </w:r>
      <w:r w:rsidR="00290FEC">
        <w:t xml:space="preserve">bread </w:t>
      </w:r>
      <w:r w:rsidR="0043388C" w:rsidRPr="006B41A6">
        <w:t>volume</w:t>
      </w:r>
      <w:r w:rsidR="00290FEC">
        <w:t xml:space="preserve">, </w:t>
      </w:r>
      <w:r w:rsidR="0043388C" w:rsidRPr="006B41A6">
        <w:t xml:space="preserve">and crumb texture, </w:t>
      </w:r>
      <w:r w:rsidR="00465496">
        <w:t xml:space="preserve">which together contribute to a </w:t>
      </w:r>
      <w:r w:rsidR="00604855">
        <w:t>superior quality</w:t>
      </w:r>
      <w:r w:rsidR="00465496">
        <w:t xml:space="preserve"> product</w:t>
      </w:r>
      <w:r w:rsidR="00604855">
        <w:t xml:space="preserve">. The results of the </w:t>
      </w:r>
      <w:r w:rsidR="00465496">
        <w:t>above-</w:t>
      </w:r>
      <w:r w:rsidR="00604855">
        <w:t xml:space="preserve">mentioned study </w:t>
      </w:r>
      <w:r w:rsidR="002A4F58">
        <w:t xml:space="preserve">on loaf bread also </w:t>
      </w:r>
      <w:r w:rsidR="00604855">
        <w:t>support these claims.</w:t>
      </w:r>
    </w:p>
    <w:p w14:paraId="148DECB6" w14:textId="3C09488E" w:rsidR="00003A8E" w:rsidRPr="0043388C" w:rsidRDefault="00003A8E" w:rsidP="00003A8E">
      <w:pPr>
        <w:rPr>
          <w:color w:val="808080" w:themeColor="background1" w:themeShade="80"/>
          <w:lang w:eastAsia="en-AU" w:bidi="ar-SA"/>
        </w:rPr>
      </w:pPr>
    </w:p>
    <w:p w14:paraId="69E1A173" w14:textId="77777777" w:rsidR="0043388C" w:rsidRPr="00604855" w:rsidRDefault="0043388C" w:rsidP="0043388C">
      <w:pPr>
        <w:rPr>
          <w:u w:val="single"/>
          <w:lang w:eastAsia="en-AU" w:bidi="ar-SA"/>
        </w:rPr>
      </w:pPr>
      <w:r w:rsidRPr="00604855">
        <w:rPr>
          <w:u w:val="single"/>
          <w:lang w:eastAsia="en-AU" w:bidi="ar-SA"/>
        </w:rPr>
        <w:t>Starch processing</w:t>
      </w:r>
    </w:p>
    <w:p w14:paraId="10FEF695" w14:textId="31029F5C" w:rsidR="00AF5E85" w:rsidRDefault="0043388C" w:rsidP="00465496">
      <w:pPr>
        <w:rPr>
          <w:lang w:eastAsia="en-AU" w:bidi="ar-SA"/>
        </w:rPr>
      </w:pPr>
      <w:r w:rsidRPr="00604855">
        <w:rPr>
          <w:lang w:eastAsia="en-AU" w:bidi="ar-SA"/>
        </w:rPr>
        <w:t>In starch processing for the production of maltose</w:t>
      </w:r>
      <w:r w:rsidR="002A4F58">
        <w:rPr>
          <w:lang w:eastAsia="en-AU" w:bidi="ar-SA"/>
        </w:rPr>
        <w:t>/</w:t>
      </w:r>
      <w:r w:rsidRPr="00604855">
        <w:rPr>
          <w:lang w:eastAsia="en-AU" w:bidi="ar-SA"/>
        </w:rPr>
        <w:t>glucose syrups, the enzyme is added to the saccharification step</w:t>
      </w:r>
      <w:r w:rsidR="000A4B27">
        <w:rPr>
          <w:lang w:eastAsia="en-AU" w:bidi="ar-SA"/>
        </w:rPr>
        <w:t xml:space="preserve"> </w:t>
      </w:r>
      <w:r w:rsidR="00AF5E85">
        <w:rPr>
          <w:lang w:eastAsia="en-AU" w:bidi="ar-SA"/>
        </w:rPr>
        <w:t xml:space="preserve">for </w:t>
      </w:r>
      <w:r w:rsidR="00600219">
        <w:rPr>
          <w:lang w:eastAsia="en-AU" w:bidi="ar-SA"/>
        </w:rPr>
        <w:t>more efficient</w:t>
      </w:r>
      <w:r w:rsidR="00AF5E85">
        <w:rPr>
          <w:lang w:eastAsia="en-AU" w:bidi="ar-SA"/>
        </w:rPr>
        <w:t xml:space="preserve"> processing</w:t>
      </w:r>
      <w:r w:rsidR="00963238">
        <w:rPr>
          <w:lang w:eastAsia="en-AU" w:bidi="ar-SA"/>
        </w:rPr>
        <w:t>. Other b</w:t>
      </w:r>
      <w:r w:rsidR="00AF5E85">
        <w:rPr>
          <w:lang w:eastAsia="en-AU" w:bidi="ar-SA"/>
        </w:rPr>
        <w:t xml:space="preserve">enefits include: </w:t>
      </w:r>
    </w:p>
    <w:p w14:paraId="14A438F7" w14:textId="77777777" w:rsidR="00AF5E85" w:rsidRDefault="00AF5E85" w:rsidP="00465496">
      <w:pPr>
        <w:rPr>
          <w:lang w:eastAsia="en-AU" w:bidi="ar-SA"/>
        </w:rPr>
      </w:pPr>
    </w:p>
    <w:p w14:paraId="619FE109" w14:textId="7BB3282A" w:rsidR="00AF5E85" w:rsidRDefault="00AF5E85" w:rsidP="00AF5E85">
      <w:pPr>
        <w:pStyle w:val="ListParagraph"/>
        <w:numPr>
          <w:ilvl w:val="0"/>
          <w:numId w:val="7"/>
        </w:numPr>
      </w:pPr>
      <w:r>
        <w:rPr>
          <w:lang w:eastAsia="en-AU"/>
        </w:rPr>
        <w:t>improved yields of maltose and glucose, for example, through the hydrolysis of maltotriose</w:t>
      </w:r>
    </w:p>
    <w:p w14:paraId="462B2B2D" w14:textId="632BA655" w:rsidR="00AF5E85" w:rsidRDefault="00AF5E85" w:rsidP="00ED43F6">
      <w:pPr>
        <w:pStyle w:val="ListParagraph"/>
        <w:numPr>
          <w:ilvl w:val="0"/>
          <w:numId w:val="7"/>
        </w:numPr>
      </w:pPr>
      <w:r>
        <w:t>r</w:t>
      </w:r>
      <w:r w:rsidR="00465496">
        <w:t xml:space="preserve">educed risk of microbial contamination due to </w:t>
      </w:r>
      <w:r>
        <w:t xml:space="preserve">the </w:t>
      </w:r>
      <w:r w:rsidR="00465496">
        <w:t>high saccharification temperature</w:t>
      </w:r>
      <w:r>
        <w:t xml:space="preserve"> that can be achieved</w:t>
      </w:r>
      <w:r w:rsidR="00600219">
        <w:t xml:space="preserve"> (noting also the pH optima of 5.0)</w:t>
      </w:r>
    </w:p>
    <w:p w14:paraId="371C2EDD" w14:textId="533759D9" w:rsidR="00CB6844" w:rsidRDefault="00AF5E85" w:rsidP="00ED43F6">
      <w:pPr>
        <w:pStyle w:val="ListParagraph"/>
        <w:numPr>
          <w:ilvl w:val="0"/>
          <w:numId w:val="7"/>
        </w:numPr>
      </w:pPr>
      <w:r>
        <w:t>i</w:t>
      </w:r>
      <w:r w:rsidR="00465496">
        <w:t xml:space="preserve">mproved filterability owing to </w:t>
      </w:r>
      <w:r>
        <w:t xml:space="preserve">a </w:t>
      </w:r>
      <w:r w:rsidR="00465496">
        <w:t xml:space="preserve">reduction </w:t>
      </w:r>
      <w:r>
        <w:t>in</w:t>
      </w:r>
      <w:r w:rsidR="00465496">
        <w:t xml:space="preserve"> long chain dextrins</w:t>
      </w:r>
    </w:p>
    <w:p w14:paraId="0D7EB9BE" w14:textId="0CF1248C" w:rsidR="002903D9" w:rsidRPr="00604855" w:rsidRDefault="002903D9" w:rsidP="002903D9">
      <w:pPr>
        <w:pStyle w:val="ListParagraph"/>
        <w:numPr>
          <w:ilvl w:val="0"/>
          <w:numId w:val="7"/>
        </w:numPr>
      </w:pPr>
      <w:r w:rsidRPr="002903D9">
        <w:t xml:space="preserve">increased levels of glucose and maltose in starch hydrolysates </w:t>
      </w:r>
      <w:r w:rsidR="004B3B9C">
        <w:t xml:space="preserve">that </w:t>
      </w:r>
      <w:r w:rsidRPr="002903D9">
        <w:t xml:space="preserve">have a positive effect on </w:t>
      </w:r>
      <w:r>
        <w:t xml:space="preserve">the </w:t>
      </w:r>
      <w:r w:rsidRPr="002903D9">
        <w:t xml:space="preserve">clarity of </w:t>
      </w:r>
      <w:r>
        <w:t xml:space="preserve">the </w:t>
      </w:r>
      <w:r w:rsidRPr="002903D9">
        <w:t>hydrolysates.</w:t>
      </w:r>
    </w:p>
    <w:p w14:paraId="29A09050" w14:textId="77777777" w:rsidR="002A4F58" w:rsidRDefault="002A4F58" w:rsidP="00CB6844">
      <w:pPr>
        <w:rPr>
          <w:color w:val="BFBFBF" w:themeColor="background1" w:themeShade="BF"/>
        </w:rPr>
      </w:pPr>
    </w:p>
    <w:p w14:paraId="09D97186" w14:textId="7A630C79" w:rsidR="002A4F58" w:rsidRPr="002A4F58" w:rsidRDefault="002A4F58" w:rsidP="002A4F58">
      <w:r w:rsidRPr="002A4F58">
        <w:t xml:space="preserve">The applicant provided a study examining the action of maltogenic alpha amylase on corn </w:t>
      </w:r>
    </w:p>
    <w:p w14:paraId="43C894B8" w14:textId="5BEE4563" w:rsidR="002A4F58" w:rsidRPr="002A4F58" w:rsidRDefault="002A4F58" w:rsidP="002A4F58">
      <w:r w:rsidRPr="002A4F58">
        <w:t xml:space="preserve">starch </w:t>
      </w:r>
      <w:r w:rsidR="000A4B27">
        <w:t>that</w:t>
      </w:r>
      <w:r w:rsidRPr="002A4F58">
        <w:t xml:space="preserve"> supported these claims and concluded that the enzyme was effective in producing high maltose syrup.</w:t>
      </w:r>
    </w:p>
    <w:p w14:paraId="65548941" w14:textId="31A67D90" w:rsidR="002A4F58" w:rsidRDefault="002A4F58" w:rsidP="00CB6844">
      <w:pPr>
        <w:rPr>
          <w:color w:val="BFBFBF" w:themeColor="background1" w:themeShade="BF"/>
        </w:rPr>
      </w:pPr>
    </w:p>
    <w:p w14:paraId="58C7415C" w14:textId="6A1140CD" w:rsidR="0043388C" w:rsidRPr="002903D9" w:rsidRDefault="0043388C" w:rsidP="00CB6844">
      <w:pPr>
        <w:rPr>
          <w:u w:val="single"/>
        </w:rPr>
      </w:pPr>
      <w:r w:rsidRPr="002903D9">
        <w:rPr>
          <w:u w:val="single"/>
        </w:rPr>
        <w:t>Brewing</w:t>
      </w:r>
    </w:p>
    <w:p w14:paraId="322F38DC" w14:textId="7C63EF39" w:rsidR="00CB6844" w:rsidRPr="002903D9" w:rsidRDefault="003D66C6" w:rsidP="00CB6844">
      <w:r w:rsidRPr="002903D9">
        <w:rPr>
          <w:lang w:eastAsia="en-AU" w:bidi="ar-SA"/>
        </w:rPr>
        <w:t xml:space="preserve">In brewing, </w:t>
      </w:r>
      <w:r w:rsidR="00963238">
        <w:rPr>
          <w:lang w:eastAsia="en-AU" w:bidi="ar-SA"/>
        </w:rPr>
        <w:t>maltogenic alpha amylase</w:t>
      </w:r>
      <w:r w:rsidRPr="002903D9">
        <w:rPr>
          <w:lang w:eastAsia="en-AU" w:bidi="ar-SA"/>
        </w:rPr>
        <w:t xml:space="preserve"> is added </w:t>
      </w:r>
      <w:r w:rsidR="00963238">
        <w:rPr>
          <w:lang w:eastAsia="en-AU" w:bidi="ar-SA"/>
        </w:rPr>
        <w:t>during</w:t>
      </w:r>
      <w:r w:rsidRPr="002903D9">
        <w:rPr>
          <w:lang w:eastAsia="en-AU" w:bidi="ar-SA"/>
        </w:rPr>
        <w:t xml:space="preserve"> mashing, </w:t>
      </w:r>
      <w:r w:rsidR="00963238">
        <w:rPr>
          <w:lang w:eastAsia="en-AU" w:bidi="ar-SA"/>
        </w:rPr>
        <w:t>before lautering or mash filtration. Ther</w:t>
      </w:r>
      <w:r w:rsidRPr="002903D9">
        <w:rPr>
          <w:lang w:eastAsia="en-AU" w:bidi="ar-SA"/>
        </w:rPr>
        <w:t>e it hydrolyses the starch containing substrates to release high amounts of simple sugars that support yeast growth during fermentation.</w:t>
      </w:r>
      <w:r w:rsidR="00963238">
        <w:rPr>
          <w:lang w:eastAsia="en-AU" w:bidi="ar-SA"/>
        </w:rPr>
        <w:t xml:space="preserve"> </w:t>
      </w:r>
      <w:r w:rsidR="00F675FA">
        <w:rPr>
          <w:lang w:eastAsia="en-AU" w:bidi="ar-SA"/>
        </w:rPr>
        <w:t xml:space="preserve">Specifically, </w:t>
      </w:r>
      <w:r w:rsidR="00963238">
        <w:rPr>
          <w:lang w:eastAsia="en-AU" w:bidi="ar-SA"/>
        </w:rPr>
        <w:t>benefits of the action of the enzyme in brewing include</w:t>
      </w:r>
      <w:r w:rsidR="00CB6844" w:rsidRPr="002903D9">
        <w:t>:</w:t>
      </w:r>
    </w:p>
    <w:p w14:paraId="58A51AB3" w14:textId="77777777" w:rsidR="00CB6844" w:rsidRPr="002903D9" w:rsidRDefault="00CB6844" w:rsidP="00CB6844"/>
    <w:p w14:paraId="73D37513" w14:textId="5D462616" w:rsidR="00F675FA" w:rsidRDefault="00F675FA" w:rsidP="00963238">
      <w:pPr>
        <w:pStyle w:val="ListParagraph"/>
        <w:numPr>
          <w:ilvl w:val="0"/>
          <w:numId w:val="4"/>
        </w:numPr>
      </w:pPr>
      <w:r>
        <w:t>decreased mashing time owing to its abil</w:t>
      </w:r>
      <w:r w:rsidR="00963238" w:rsidRPr="00963238">
        <w:t>i</w:t>
      </w:r>
      <w:r>
        <w:t>ty to efficiently hydrolyse the starch containing substrates</w:t>
      </w:r>
    </w:p>
    <w:p w14:paraId="12745DBC" w14:textId="19285D4B" w:rsidR="00963238" w:rsidRDefault="00F675FA" w:rsidP="00963238">
      <w:pPr>
        <w:pStyle w:val="ListParagraph"/>
        <w:numPr>
          <w:ilvl w:val="0"/>
          <w:numId w:val="4"/>
        </w:numPr>
      </w:pPr>
      <w:r>
        <w:t>i</w:t>
      </w:r>
      <w:r w:rsidR="00963238" w:rsidRPr="00963238">
        <w:t xml:space="preserve">mproved yields due to </w:t>
      </w:r>
      <w:r>
        <w:t xml:space="preserve">the </w:t>
      </w:r>
      <w:r w:rsidR="00963238" w:rsidRPr="00963238">
        <w:t xml:space="preserve">release of high amounts of maltose, </w:t>
      </w:r>
      <w:r w:rsidRPr="002903D9">
        <w:t xml:space="preserve">for the </w:t>
      </w:r>
      <w:r>
        <w:t xml:space="preserve">subsequent </w:t>
      </w:r>
      <w:r w:rsidRPr="002903D9">
        <w:t>action of the enzymes in the yeast, producing ethanol</w:t>
      </w:r>
    </w:p>
    <w:p w14:paraId="0F5942DA" w14:textId="77777777" w:rsidR="00F675FA" w:rsidRDefault="00963238" w:rsidP="00ED43F6">
      <w:pPr>
        <w:pStyle w:val="ListParagraph"/>
        <w:numPr>
          <w:ilvl w:val="0"/>
          <w:numId w:val="4"/>
        </w:numPr>
      </w:pPr>
      <w:r w:rsidRPr="00963238">
        <w:t>wider choice of raw materials</w:t>
      </w:r>
      <w:r w:rsidR="00F675FA">
        <w:t>, due to its ability to hydrolyse starch from various grains into maltose</w:t>
      </w:r>
    </w:p>
    <w:p w14:paraId="28868CDF" w14:textId="6C401114" w:rsidR="00492D64" w:rsidRDefault="00492D64" w:rsidP="00ED43F6">
      <w:pPr>
        <w:pStyle w:val="ListParagraph"/>
        <w:numPr>
          <w:ilvl w:val="0"/>
          <w:numId w:val="4"/>
        </w:numPr>
      </w:pPr>
      <w:r>
        <w:t xml:space="preserve">improved rates of filtration of the wort (in combination with other enzymes) </w:t>
      </w:r>
    </w:p>
    <w:p w14:paraId="068656DF" w14:textId="38511A01" w:rsidR="00492D64" w:rsidRDefault="00492D64" w:rsidP="00ED43F6">
      <w:pPr>
        <w:pStyle w:val="ListParagraph"/>
        <w:numPr>
          <w:ilvl w:val="0"/>
          <w:numId w:val="4"/>
        </w:numPr>
      </w:pPr>
      <w:r>
        <w:t xml:space="preserve">a synergistic effect on improving the fermentable nitrogen content of the hydrolysed extract. </w:t>
      </w:r>
    </w:p>
    <w:p w14:paraId="5CAF74AB" w14:textId="77777777" w:rsidR="00492D64" w:rsidRDefault="00492D64" w:rsidP="00492D64"/>
    <w:p w14:paraId="6A46AF98" w14:textId="2DD98E89" w:rsidR="00492D64" w:rsidRDefault="00492D64" w:rsidP="00492D64">
      <w:r>
        <w:t xml:space="preserve">The results of a study provided by the applicant on the action of maltogenic alpha amylase in brewing using a combination of barley malt and millet support these claims, noting the </w:t>
      </w:r>
      <w:r w:rsidR="000A4B27">
        <w:t>overall</w:t>
      </w:r>
      <w:r>
        <w:t xml:space="preserve"> effect </w:t>
      </w:r>
      <w:r w:rsidR="000A4B27">
        <w:t xml:space="preserve">of using the enzyme </w:t>
      </w:r>
      <w:r>
        <w:t xml:space="preserve">is an increase to yield and productivity. </w:t>
      </w:r>
    </w:p>
    <w:p w14:paraId="462E4A56" w14:textId="77777777" w:rsidR="00CB6844" w:rsidRPr="00492D64" w:rsidRDefault="00CB6844" w:rsidP="00CB6844">
      <w:pPr>
        <w:pStyle w:val="Heading2"/>
      </w:pPr>
      <w:bookmarkStart w:id="50" w:name="_Toc536543991"/>
      <w:bookmarkStart w:id="51" w:name="_Toc536607126"/>
      <w:bookmarkStart w:id="52" w:name="_Toc30154598"/>
      <w:bookmarkStart w:id="53" w:name="_Toc85204761"/>
      <w:bookmarkStart w:id="54" w:name="_Toc85211323"/>
      <w:bookmarkStart w:id="55" w:name="_Toc87259298"/>
      <w:r w:rsidRPr="00492D64">
        <w:t>2.2</w:t>
      </w:r>
      <w:r w:rsidRPr="00492D64">
        <w:tab/>
        <w:t>Manufacturing process</w:t>
      </w:r>
      <w:bookmarkEnd w:id="50"/>
      <w:bookmarkEnd w:id="51"/>
      <w:bookmarkEnd w:id="52"/>
      <w:bookmarkEnd w:id="53"/>
      <w:bookmarkEnd w:id="54"/>
      <w:bookmarkEnd w:id="55"/>
    </w:p>
    <w:p w14:paraId="78E6AD3D" w14:textId="77777777" w:rsidR="00CB6844" w:rsidRPr="00492D64" w:rsidRDefault="00CB6844" w:rsidP="00477F42">
      <w:pPr>
        <w:pStyle w:val="Heading3"/>
      </w:pPr>
      <w:bookmarkStart w:id="56" w:name="_Toc536543992"/>
      <w:bookmarkStart w:id="57" w:name="_Toc536607127"/>
      <w:bookmarkStart w:id="58" w:name="_Toc30154599"/>
      <w:bookmarkStart w:id="59" w:name="_Toc85204762"/>
      <w:bookmarkStart w:id="60" w:name="_Toc85211324"/>
      <w:bookmarkStart w:id="61" w:name="_Toc87259299"/>
      <w:r w:rsidRPr="00492D64">
        <w:t>2.2.1</w:t>
      </w:r>
      <w:r w:rsidRPr="00492D64">
        <w:tab/>
        <w:t>Production of the enzyme</w:t>
      </w:r>
      <w:bookmarkEnd w:id="56"/>
      <w:bookmarkEnd w:id="57"/>
      <w:bookmarkEnd w:id="58"/>
      <w:bookmarkEnd w:id="59"/>
      <w:bookmarkEnd w:id="60"/>
      <w:bookmarkEnd w:id="61"/>
    </w:p>
    <w:p w14:paraId="449101DC" w14:textId="02D7F050" w:rsidR="00CB6844" w:rsidRPr="00C82FB8" w:rsidRDefault="00CB6844" w:rsidP="00CB6844">
      <w:pPr>
        <w:rPr>
          <w:lang w:eastAsia="en-AU" w:bidi="ar-SA"/>
        </w:rPr>
      </w:pPr>
      <w:r w:rsidRPr="00492D64">
        <w:rPr>
          <w:lang w:eastAsia="en-AU" w:bidi="ar-SA"/>
        </w:rPr>
        <w:t xml:space="preserve">The enzyme is produced by </w:t>
      </w:r>
      <w:r w:rsidR="00C82FB8">
        <w:rPr>
          <w:lang w:eastAsia="en-AU" w:bidi="ar-SA"/>
        </w:rPr>
        <w:t xml:space="preserve">fed batch </w:t>
      </w:r>
      <w:r w:rsidRPr="00492D64">
        <w:rPr>
          <w:lang w:eastAsia="en-AU" w:bidi="ar-SA"/>
        </w:rPr>
        <w:t xml:space="preserve">fermentation </w:t>
      </w:r>
      <w:r w:rsidRPr="00492D64">
        <w:rPr>
          <w:lang w:eastAsia="en-AU"/>
        </w:rPr>
        <w:t xml:space="preserve">of the GM strain of </w:t>
      </w:r>
      <w:r w:rsidR="00492D64">
        <w:rPr>
          <w:i/>
          <w:lang w:eastAsia="en-AU"/>
        </w:rPr>
        <w:t>E. coli</w:t>
      </w:r>
      <w:r w:rsidRPr="00492D64">
        <w:rPr>
          <w:i/>
          <w:lang w:eastAsia="en-AU"/>
        </w:rPr>
        <w:t xml:space="preserve">. </w:t>
      </w:r>
      <w:r w:rsidRPr="00492D64">
        <w:rPr>
          <w:lang w:eastAsia="en-AU" w:bidi="ar-SA"/>
        </w:rPr>
        <w:t xml:space="preserve">Briefly, it </w:t>
      </w:r>
      <w:r w:rsidRPr="00C82FB8">
        <w:rPr>
          <w:lang w:eastAsia="en-AU" w:bidi="ar-SA"/>
        </w:rPr>
        <w:t xml:space="preserve">comprises the processes of fermentation, </w:t>
      </w:r>
      <w:r w:rsidR="00C82FB8" w:rsidRPr="00C82FB8">
        <w:rPr>
          <w:lang w:eastAsia="en-AU" w:bidi="ar-SA"/>
        </w:rPr>
        <w:t>recovery and purification,</w:t>
      </w:r>
      <w:r w:rsidRPr="00C82FB8">
        <w:rPr>
          <w:lang w:eastAsia="en-AU" w:bidi="ar-SA"/>
        </w:rPr>
        <w:t xml:space="preserve"> and formulation</w:t>
      </w:r>
      <w:r w:rsidR="00C82FB8" w:rsidRPr="00C82FB8">
        <w:rPr>
          <w:lang w:eastAsia="en-AU" w:bidi="ar-SA"/>
        </w:rPr>
        <w:t xml:space="preserve"> and packaging, including </w:t>
      </w:r>
      <w:r w:rsidRPr="00C82FB8">
        <w:rPr>
          <w:lang w:eastAsia="en-AU" w:bidi="ar-SA"/>
        </w:rPr>
        <w:t>quality control of the finished product.</w:t>
      </w:r>
    </w:p>
    <w:p w14:paraId="0A0122C7" w14:textId="77777777" w:rsidR="00CB6844" w:rsidRPr="00C82FB8" w:rsidRDefault="00CB6844" w:rsidP="00CB6844">
      <w:pPr>
        <w:rPr>
          <w:lang w:eastAsia="en-AU" w:bidi="ar-SA"/>
        </w:rPr>
      </w:pPr>
    </w:p>
    <w:p w14:paraId="707B99F5" w14:textId="412E4C35" w:rsidR="00FF6551" w:rsidRPr="0098490F" w:rsidRDefault="00CB6844" w:rsidP="00CB6844">
      <w:pPr>
        <w:rPr>
          <w:lang w:eastAsia="en-AU" w:bidi="ar-SA"/>
        </w:rPr>
      </w:pPr>
      <w:r w:rsidRPr="00C82FB8">
        <w:rPr>
          <w:lang w:eastAsia="en-AU" w:bidi="ar-SA"/>
        </w:rPr>
        <w:t xml:space="preserve">The fermentation process begins with injecting the stock culture suspension into the </w:t>
      </w:r>
      <w:r w:rsidRPr="00C82FB8">
        <w:rPr>
          <w:lang w:eastAsia="en-AU" w:bidi="ar-SA"/>
        </w:rPr>
        <w:lastRenderedPageBreak/>
        <w:t>inoculum flask</w:t>
      </w:r>
      <w:r w:rsidR="00C82FB8" w:rsidRPr="00C82FB8">
        <w:rPr>
          <w:lang w:eastAsia="en-AU" w:bidi="ar-SA"/>
        </w:rPr>
        <w:t xml:space="preserve"> containing fermentation medium</w:t>
      </w:r>
      <w:r w:rsidRPr="00C82FB8">
        <w:rPr>
          <w:lang w:eastAsia="en-AU" w:bidi="ar-SA"/>
        </w:rPr>
        <w:t>. When</w:t>
      </w:r>
      <w:r w:rsidR="00C82FB8" w:rsidRPr="00C82FB8">
        <w:rPr>
          <w:lang w:eastAsia="en-AU" w:bidi="ar-SA"/>
        </w:rPr>
        <w:t xml:space="preserve"> a</w:t>
      </w:r>
      <w:r w:rsidRPr="00C82FB8">
        <w:rPr>
          <w:lang w:eastAsia="en-AU" w:bidi="ar-SA"/>
        </w:rPr>
        <w:t xml:space="preserve"> sufficient </w:t>
      </w:r>
      <w:r w:rsidR="00C82FB8" w:rsidRPr="00C82FB8">
        <w:rPr>
          <w:lang w:eastAsia="en-AU" w:bidi="ar-SA"/>
        </w:rPr>
        <w:t xml:space="preserve">amount of </w:t>
      </w:r>
      <w:r w:rsidRPr="00C82FB8">
        <w:rPr>
          <w:lang w:eastAsia="en-AU" w:bidi="ar-SA"/>
        </w:rPr>
        <w:t>biomass is obtained, a suspension of cells is transferred from the inoculum flask to the seed fermentation tank, and eventually to the main fermentation tank</w:t>
      </w:r>
      <w:r w:rsidR="00C82FB8">
        <w:rPr>
          <w:lang w:eastAsia="en-AU" w:bidi="ar-SA"/>
        </w:rPr>
        <w:t>.</w:t>
      </w:r>
      <w:r w:rsidR="00D16FB3">
        <w:rPr>
          <w:lang w:eastAsia="en-AU" w:bidi="ar-SA"/>
        </w:rPr>
        <w:t xml:space="preserve"> </w:t>
      </w:r>
      <w:r w:rsidR="00FF6551" w:rsidRPr="0098490F">
        <w:rPr>
          <w:lang w:eastAsia="en-AU" w:bidi="ar-SA"/>
        </w:rPr>
        <w:t xml:space="preserve">The applicant has provided information regarding the raw materials used in fermentation and FSANZ has confirmed that these are appropriate for use in food production. </w:t>
      </w:r>
    </w:p>
    <w:p w14:paraId="4D077C44" w14:textId="77777777" w:rsidR="00FF6551" w:rsidRDefault="00FF6551" w:rsidP="00CB6844">
      <w:pPr>
        <w:rPr>
          <w:highlight w:val="yellow"/>
          <w:lang w:eastAsia="en-AU" w:bidi="ar-SA"/>
        </w:rPr>
      </w:pPr>
    </w:p>
    <w:p w14:paraId="689FD534" w14:textId="4A1222D9" w:rsidR="00CB6844" w:rsidRPr="00C82FB8" w:rsidRDefault="00FF6551" w:rsidP="00CB6844">
      <w:pPr>
        <w:rPr>
          <w:lang w:eastAsia="en-AU" w:bidi="ar-SA"/>
        </w:rPr>
      </w:pPr>
      <w:r w:rsidRPr="0098490F">
        <w:rPr>
          <w:lang w:eastAsia="en-AU" w:bidi="ar-SA"/>
        </w:rPr>
        <w:t>A</w:t>
      </w:r>
      <w:r w:rsidR="00C82FB8" w:rsidRPr="0098490F">
        <w:rPr>
          <w:lang w:eastAsia="en-AU" w:bidi="ar-SA"/>
        </w:rPr>
        <w:t>fter desired growth is achieved in the fermenter, isopropyl-</w:t>
      </w:r>
      <w:r w:rsidR="00C82FB8" w:rsidRPr="0098490F">
        <w:rPr>
          <w:rFonts w:cs="Arial"/>
          <w:lang w:eastAsia="en-AU" w:bidi="ar-SA"/>
        </w:rPr>
        <w:t>β</w:t>
      </w:r>
      <w:r w:rsidR="00C82FB8" w:rsidRPr="0098490F">
        <w:rPr>
          <w:lang w:eastAsia="en-AU" w:bidi="ar-SA"/>
        </w:rPr>
        <w:t>-D-thiogalactopyranoside (IPTG) is aseptically added to induce enzyme production; the enzyme is produc</w:t>
      </w:r>
      <w:r w:rsidR="000A4B27" w:rsidRPr="0098490F">
        <w:rPr>
          <w:lang w:eastAsia="en-AU" w:bidi="ar-SA"/>
        </w:rPr>
        <w:t>ed and retained intracellularly</w:t>
      </w:r>
      <w:r w:rsidR="000A4B27" w:rsidRPr="0098490F" w:rsidDel="00003651">
        <w:rPr>
          <w:lang w:eastAsia="en-AU" w:bidi="ar-SA"/>
        </w:rPr>
        <w:t>.</w:t>
      </w:r>
      <w:r w:rsidR="000A4B27" w:rsidRPr="00C82FB8" w:rsidDel="00003651">
        <w:rPr>
          <w:lang w:eastAsia="en-AU" w:bidi="ar-SA"/>
        </w:rPr>
        <w:t xml:space="preserve"> </w:t>
      </w:r>
      <w:r w:rsidR="00C82FB8">
        <w:rPr>
          <w:lang w:eastAsia="en-AU" w:bidi="ar-SA"/>
        </w:rPr>
        <w:t xml:space="preserve">The fermentation process is continued until the </w:t>
      </w:r>
      <w:r w:rsidR="00CB6844" w:rsidRPr="00C82FB8">
        <w:rPr>
          <w:lang w:eastAsia="en-AU" w:bidi="ar-SA"/>
        </w:rPr>
        <w:t>desired level</w:t>
      </w:r>
      <w:r w:rsidR="000A4B27">
        <w:rPr>
          <w:lang w:eastAsia="en-AU" w:bidi="ar-SA"/>
        </w:rPr>
        <w:t xml:space="preserve"> of</w:t>
      </w:r>
      <w:r w:rsidR="00CB6844" w:rsidRPr="00C82FB8">
        <w:rPr>
          <w:lang w:eastAsia="en-AU" w:bidi="ar-SA"/>
        </w:rPr>
        <w:t xml:space="preserve"> enzym</w:t>
      </w:r>
      <w:r w:rsidR="00C82FB8" w:rsidRPr="00C82FB8">
        <w:rPr>
          <w:lang w:eastAsia="en-AU" w:bidi="ar-SA"/>
        </w:rPr>
        <w:t>e production</w:t>
      </w:r>
      <w:r w:rsidR="00CB6844" w:rsidRPr="00C82FB8">
        <w:rPr>
          <w:lang w:eastAsia="en-AU" w:bidi="ar-SA"/>
        </w:rPr>
        <w:t xml:space="preserve"> is achieved</w:t>
      </w:r>
      <w:r w:rsidR="00C82FB8">
        <w:rPr>
          <w:lang w:eastAsia="en-AU" w:bidi="ar-SA"/>
        </w:rPr>
        <w:t>, after which the fermentation is considered complete</w:t>
      </w:r>
      <w:r w:rsidR="00CB6844" w:rsidRPr="00C82FB8">
        <w:rPr>
          <w:lang w:eastAsia="en-AU" w:bidi="ar-SA"/>
        </w:rPr>
        <w:t xml:space="preserve">. During all stages of the fermentation process, samples are taken to ensure the absence of microbial contamination. </w:t>
      </w:r>
    </w:p>
    <w:p w14:paraId="56C30C79" w14:textId="77777777" w:rsidR="00CB6844" w:rsidRPr="00CB6844" w:rsidRDefault="00CB6844" w:rsidP="00CB6844">
      <w:pPr>
        <w:rPr>
          <w:color w:val="BFBFBF" w:themeColor="background1" w:themeShade="BF"/>
          <w:lang w:eastAsia="en-AU" w:bidi="ar-SA"/>
        </w:rPr>
      </w:pPr>
    </w:p>
    <w:p w14:paraId="24FFD04F" w14:textId="1D86B625" w:rsidR="009C419D" w:rsidRDefault="00CB6844" w:rsidP="00CB6844">
      <w:pPr>
        <w:rPr>
          <w:lang w:eastAsia="en-AU"/>
        </w:rPr>
      </w:pPr>
      <w:r w:rsidRPr="009C419D">
        <w:rPr>
          <w:lang w:eastAsia="en-AU" w:bidi="ar-SA"/>
        </w:rPr>
        <w:t xml:space="preserve">The recovery process is a multi-step operation to separate </w:t>
      </w:r>
      <w:r w:rsidRPr="009C419D">
        <w:rPr>
          <w:lang w:eastAsia="en-AU"/>
        </w:rPr>
        <w:t xml:space="preserve">the biomass from the enzyme-containing culture medium. </w:t>
      </w:r>
      <w:r w:rsidR="000A4B27">
        <w:rPr>
          <w:lang w:eastAsia="en-AU"/>
        </w:rPr>
        <w:t>As m</w:t>
      </w:r>
      <w:r w:rsidR="009C419D">
        <w:rPr>
          <w:lang w:eastAsia="en-AU"/>
        </w:rPr>
        <w:t xml:space="preserve">altogenic alpha amylase </w:t>
      </w:r>
      <w:r w:rsidR="009C419D" w:rsidRPr="009C419D">
        <w:rPr>
          <w:lang w:eastAsia="en-AU"/>
        </w:rPr>
        <w:t xml:space="preserve">is produced intracellularly and retained inside the cells of </w:t>
      </w:r>
      <w:r w:rsidR="009C419D">
        <w:rPr>
          <w:lang w:eastAsia="en-AU"/>
        </w:rPr>
        <w:t xml:space="preserve">the </w:t>
      </w:r>
      <w:r w:rsidR="009C419D" w:rsidRPr="009C419D">
        <w:rPr>
          <w:lang w:eastAsia="en-AU"/>
        </w:rPr>
        <w:t>production microorganism</w:t>
      </w:r>
      <w:r w:rsidR="000A4B27">
        <w:rPr>
          <w:lang w:eastAsia="en-AU"/>
        </w:rPr>
        <w:t>,</w:t>
      </w:r>
      <w:r w:rsidR="009C419D">
        <w:rPr>
          <w:lang w:eastAsia="en-AU"/>
        </w:rPr>
        <w:t xml:space="preserve"> the</w:t>
      </w:r>
      <w:r w:rsidR="009C419D" w:rsidRPr="009C419D">
        <w:rPr>
          <w:lang w:eastAsia="en-AU"/>
        </w:rPr>
        <w:t xml:space="preserve"> fermentation broth </w:t>
      </w:r>
      <w:r w:rsidR="009C419D">
        <w:rPr>
          <w:lang w:eastAsia="en-AU"/>
        </w:rPr>
        <w:t xml:space="preserve">is first briefly subjected to an </w:t>
      </w:r>
      <w:r w:rsidR="009C419D" w:rsidRPr="009C419D">
        <w:rPr>
          <w:lang w:eastAsia="en-AU"/>
        </w:rPr>
        <w:t>elevated temperature and passed through a cell ho</w:t>
      </w:r>
      <w:r w:rsidR="009C419D">
        <w:rPr>
          <w:lang w:eastAsia="en-AU"/>
        </w:rPr>
        <w:t xml:space="preserve">mogenizer to lyse the cells. This results in </w:t>
      </w:r>
      <w:r w:rsidR="009C419D" w:rsidRPr="009C419D">
        <w:rPr>
          <w:lang w:eastAsia="en-AU"/>
        </w:rPr>
        <w:t>the release of the enzyme from the bacterial cells</w:t>
      </w:r>
      <w:r w:rsidR="009C419D">
        <w:rPr>
          <w:lang w:eastAsia="en-AU"/>
        </w:rPr>
        <w:t xml:space="preserve"> into the </w:t>
      </w:r>
      <w:r w:rsidR="009C419D" w:rsidRPr="009C419D">
        <w:rPr>
          <w:lang w:eastAsia="en-AU"/>
        </w:rPr>
        <w:t xml:space="preserve">fermentation medium. </w:t>
      </w:r>
    </w:p>
    <w:p w14:paraId="6939BE76" w14:textId="77777777" w:rsidR="009C419D" w:rsidRDefault="009C419D" w:rsidP="00CB6844">
      <w:pPr>
        <w:rPr>
          <w:lang w:eastAsia="en-AU"/>
        </w:rPr>
      </w:pPr>
    </w:p>
    <w:p w14:paraId="13C25CF8" w14:textId="7774A191" w:rsidR="00CB6844" w:rsidRPr="00621AD2" w:rsidRDefault="009C419D" w:rsidP="00CB6844">
      <w:pPr>
        <w:rPr>
          <w:lang w:eastAsia="en-AU"/>
        </w:rPr>
      </w:pPr>
      <w:r>
        <w:rPr>
          <w:lang w:eastAsia="en-AU"/>
        </w:rPr>
        <w:t xml:space="preserve">Subsequent steps in the recovery process involve </w:t>
      </w:r>
      <w:r w:rsidRPr="00621AD2">
        <w:rPr>
          <w:lang w:eastAsia="en-AU"/>
        </w:rPr>
        <w:t>primary sep</w:t>
      </w:r>
      <w:r w:rsidR="00621AD2" w:rsidRPr="00621AD2">
        <w:rPr>
          <w:lang w:eastAsia="en-AU"/>
        </w:rPr>
        <w:t>a</w:t>
      </w:r>
      <w:r w:rsidRPr="00621AD2">
        <w:rPr>
          <w:lang w:eastAsia="en-AU"/>
        </w:rPr>
        <w:t>ration</w:t>
      </w:r>
      <w:r w:rsidR="00621AD2" w:rsidRPr="00621AD2">
        <w:rPr>
          <w:lang w:eastAsia="en-AU"/>
        </w:rPr>
        <w:t xml:space="preserve"> of the biomass and insoluble/unused media from the liquid,</w:t>
      </w:r>
      <w:r w:rsidR="00CB6844" w:rsidRPr="00621AD2">
        <w:rPr>
          <w:lang w:eastAsia="en-AU"/>
        </w:rPr>
        <w:t xml:space="preserve"> concentration</w:t>
      </w:r>
      <w:r w:rsidR="00621AD2" w:rsidRPr="00621AD2">
        <w:rPr>
          <w:lang w:eastAsia="en-AU"/>
        </w:rPr>
        <w:t>,</w:t>
      </w:r>
      <w:r w:rsidRPr="00621AD2">
        <w:rPr>
          <w:lang w:eastAsia="en-AU"/>
        </w:rPr>
        <w:t xml:space="preserve"> centrifugation</w:t>
      </w:r>
      <w:r w:rsidR="00CB6844" w:rsidRPr="00621AD2">
        <w:rPr>
          <w:lang w:eastAsia="en-AU"/>
        </w:rPr>
        <w:t xml:space="preserve">, </w:t>
      </w:r>
      <w:r w:rsidR="00621AD2" w:rsidRPr="00621AD2">
        <w:rPr>
          <w:lang w:eastAsia="en-AU"/>
        </w:rPr>
        <w:t xml:space="preserve">pre-filtration </w:t>
      </w:r>
      <w:r w:rsidR="00CB6844" w:rsidRPr="00621AD2">
        <w:rPr>
          <w:lang w:eastAsia="en-AU"/>
        </w:rPr>
        <w:t xml:space="preserve">and </w:t>
      </w:r>
      <w:r w:rsidR="00621AD2" w:rsidRPr="00621AD2">
        <w:rPr>
          <w:lang w:eastAsia="en-AU"/>
        </w:rPr>
        <w:t>micro-filtration (</w:t>
      </w:r>
      <w:r w:rsidR="00CB6844" w:rsidRPr="00621AD2">
        <w:rPr>
          <w:lang w:eastAsia="en-AU"/>
        </w:rPr>
        <w:t>germ filtration</w:t>
      </w:r>
      <w:r w:rsidR="00621AD2" w:rsidRPr="00621AD2">
        <w:rPr>
          <w:lang w:eastAsia="en-AU"/>
        </w:rPr>
        <w:t>)</w:t>
      </w:r>
      <w:r w:rsidR="00454ECE">
        <w:rPr>
          <w:lang w:eastAsia="en-AU"/>
        </w:rPr>
        <w:t>,</w:t>
      </w:r>
      <w:r w:rsidR="00621AD2" w:rsidRPr="00621AD2">
        <w:rPr>
          <w:lang w:eastAsia="en-AU"/>
        </w:rPr>
        <w:t xml:space="preserve"> and spray drying.</w:t>
      </w:r>
      <w:r w:rsidR="00003651">
        <w:rPr>
          <w:lang w:eastAsia="en-AU"/>
        </w:rPr>
        <w:t xml:space="preserve"> </w:t>
      </w:r>
      <w:r w:rsidR="00DF779D">
        <w:rPr>
          <w:lang w:eastAsia="en-AU"/>
        </w:rPr>
        <w:t>Diafiltration is used for e</w:t>
      </w:r>
      <w:r w:rsidR="00003651">
        <w:rPr>
          <w:lang w:eastAsia="en-AU"/>
        </w:rPr>
        <w:t xml:space="preserve">nzyme concentration </w:t>
      </w:r>
      <w:r w:rsidR="00DF779D">
        <w:rPr>
          <w:lang w:eastAsia="en-AU"/>
        </w:rPr>
        <w:t xml:space="preserve">in </w:t>
      </w:r>
      <w:r w:rsidR="00003651">
        <w:rPr>
          <w:lang w:eastAsia="en-AU"/>
        </w:rPr>
        <w:t>the recovery process to remove low</w:t>
      </w:r>
      <w:r w:rsidR="00DF779D">
        <w:rPr>
          <w:lang w:eastAsia="en-AU"/>
        </w:rPr>
        <w:t xml:space="preserve"> molecular weight impurities</w:t>
      </w:r>
      <w:r w:rsidR="00003651">
        <w:rPr>
          <w:lang w:eastAsia="en-AU"/>
        </w:rPr>
        <w:t xml:space="preserve"> such as</w:t>
      </w:r>
      <w:r w:rsidR="00DF779D">
        <w:rPr>
          <w:lang w:eastAsia="en-AU"/>
        </w:rPr>
        <w:t xml:space="preserve"> the IPTG inducer</w:t>
      </w:r>
      <w:r w:rsidR="00992118">
        <w:rPr>
          <w:lang w:eastAsia="en-AU"/>
        </w:rPr>
        <w:t xml:space="preserve"> (added to induce enzyme production as outlined above)</w:t>
      </w:r>
      <w:r w:rsidR="00003651">
        <w:rPr>
          <w:lang w:eastAsia="en-AU"/>
        </w:rPr>
        <w:t>.</w:t>
      </w:r>
      <w:r w:rsidR="00621AD2">
        <w:rPr>
          <w:lang w:eastAsia="en-AU"/>
        </w:rPr>
        <w:t xml:space="preserve"> The </w:t>
      </w:r>
      <w:r w:rsidR="00621AD2" w:rsidRPr="00621AD2">
        <w:rPr>
          <w:lang w:eastAsia="en-AU"/>
        </w:rPr>
        <w:t xml:space="preserve">enzyme-containing liquid </w:t>
      </w:r>
      <w:r w:rsidR="00621AD2">
        <w:rPr>
          <w:lang w:eastAsia="en-AU"/>
        </w:rPr>
        <w:t xml:space="preserve">concentrate obtained after micro-filtration may be stabilised by the addition of glycerol. </w:t>
      </w:r>
      <w:r w:rsidR="00E41F01">
        <w:rPr>
          <w:lang w:eastAsia="en-AU"/>
        </w:rPr>
        <w:t>S</w:t>
      </w:r>
      <w:r w:rsidR="00454ECE">
        <w:rPr>
          <w:lang w:eastAsia="en-AU"/>
        </w:rPr>
        <w:t>pray drying may involve the addition of an a</w:t>
      </w:r>
      <w:r w:rsidR="00E41F01" w:rsidRPr="00E41F01">
        <w:rPr>
          <w:lang w:eastAsia="en-AU"/>
        </w:rPr>
        <w:t>pproved food-grade stabili</w:t>
      </w:r>
      <w:r w:rsidR="00E41F01">
        <w:rPr>
          <w:lang w:eastAsia="en-AU"/>
        </w:rPr>
        <w:t>s</w:t>
      </w:r>
      <w:r w:rsidR="00E41F01" w:rsidRPr="00E41F01">
        <w:rPr>
          <w:lang w:eastAsia="en-AU"/>
        </w:rPr>
        <w:t>er (e.g. maltodextrin)</w:t>
      </w:r>
      <w:r w:rsidR="00E41F01">
        <w:rPr>
          <w:lang w:eastAsia="en-AU"/>
        </w:rPr>
        <w:t>, if required,</w:t>
      </w:r>
      <w:r w:rsidR="00E41F01" w:rsidRPr="00E41F01">
        <w:rPr>
          <w:lang w:eastAsia="en-AU"/>
        </w:rPr>
        <w:t xml:space="preserve"> to obtain the unformulated concentrate.</w:t>
      </w:r>
    </w:p>
    <w:p w14:paraId="227555DC" w14:textId="77777777" w:rsidR="00CB6844" w:rsidRPr="00CB6844" w:rsidRDefault="00CB6844" w:rsidP="00CB6844">
      <w:pPr>
        <w:rPr>
          <w:color w:val="BFBFBF" w:themeColor="background1" w:themeShade="BF"/>
          <w:lang w:eastAsia="en-AU" w:bidi="ar-SA"/>
        </w:rPr>
      </w:pPr>
    </w:p>
    <w:p w14:paraId="5B156787" w14:textId="13434653" w:rsidR="00E41F01" w:rsidRDefault="00CB6844" w:rsidP="00600219">
      <w:pPr>
        <w:rPr>
          <w:lang w:eastAsia="en-AU"/>
        </w:rPr>
      </w:pPr>
      <w:r w:rsidRPr="00E41F01">
        <w:rPr>
          <w:lang w:eastAsia="en-AU"/>
        </w:rPr>
        <w:t xml:space="preserve">The </w:t>
      </w:r>
      <w:r w:rsidR="00621AD2" w:rsidRPr="00E41F01">
        <w:rPr>
          <w:lang w:eastAsia="en-AU"/>
        </w:rPr>
        <w:t xml:space="preserve">maltogenic </w:t>
      </w:r>
      <w:r w:rsidRPr="00E41F01">
        <w:rPr>
          <w:lang w:eastAsia="en-AU"/>
        </w:rPr>
        <w:t>alpha</w:t>
      </w:r>
      <w:r w:rsidR="00621AD2" w:rsidRPr="00E41F01">
        <w:rPr>
          <w:lang w:eastAsia="en-AU"/>
        </w:rPr>
        <w:t xml:space="preserve"> </w:t>
      </w:r>
      <w:r w:rsidRPr="00E41F01">
        <w:rPr>
          <w:lang w:eastAsia="en-AU"/>
        </w:rPr>
        <w:t xml:space="preserve">amylase </w:t>
      </w:r>
      <w:r w:rsidR="00621AD2" w:rsidRPr="00E41F01">
        <w:rPr>
          <w:lang w:eastAsia="en-AU"/>
        </w:rPr>
        <w:t>i</w:t>
      </w:r>
      <w:r w:rsidR="00454ECE">
        <w:rPr>
          <w:lang w:eastAsia="en-AU"/>
        </w:rPr>
        <w:t xml:space="preserve">s sold as a powder preparation, with enzyme activity of </w:t>
      </w:r>
      <w:r w:rsidR="00621AD2" w:rsidRPr="00E41F01">
        <w:rPr>
          <w:lang w:eastAsia="en-AU"/>
        </w:rPr>
        <w:t xml:space="preserve">not less than 100,000 MAN U/g. If required, the spray-dried unformulated concentrate may </w:t>
      </w:r>
      <w:r w:rsidR="00E41F01" w:rsidRPr="00E41F01">
        <w:rPr>
          <w:lang w:eastAsia="en-AU"/>
        </w:rPr>
        <w:t xml:space="preserve">be </w:t>
      </w:r>
      <w:r w:rsidR="00621AD2" w:rsidRPr="00E41F01">
        <w:rPr>
          <w:lang w:eastAsia="en-AU"/>
        </w:rPr>
        <w:t xml:space="preserve">formulated with </w:t>
      </w:r>
      <w:r w:rsidR="00E41F01" w:rsidRPr="00E41F01">
        <w:rPr>
          <w:lang w:eastAsia="en-AU"/>
        </w:rPr>
        <w:t xml:space="preserve">an </w:t>
      </w:r>
      <w:r w:rsidR="00621AD2" w:rsidRPr="00E41F01">
        <w:rPr>
          <w:lang w:eastAsia="en-AU"/>
        </w:rPr>
        <w:t>approved food</w:t>
      </w:r>
      <w:r w:rsidR="00E41F01" w:rsidRPr="00E41F01">
        <w:rPr>
          <w:lang w:eastAsia="en-AU"/>
        </w:rPr>
        <w:t>-</w:t>
      </w:r>
      <w:r w:rsidR="00621AD2" w:rsidRPr="00E41F01">
        <w:rPr>
          <w:lang w:eastAsia="en-AU"/>
        </w:rPr>
        <w:t xml:space="preserve">grade formulating agent </w:t>
      </w:r>
      <w:r w:rsidR="00E41F01" w:rsidRPr="00E41F01">
        <w:rPr>
          <w:lang w:eastAsia="en-AU"/>
        </w:rPr>
        <w:t xml:space="preserve">(e.g. </w:t>
      </w:r>
      <w:r w:rsidR="00621AD2" w:rsidRPr="00E41F01">
        <w:rPr>
          <w:lang w:eastAsia="en-AU"/>
        </w:rPr>
        <w:t>maltodextrin</w:t>
      </w:r>
      <w:r w:rsidR="00E41F01" w:rsidRPr="00E41F01">
        <w:rPr>
          <w:lang w:eastAsia="en-AU"/>
        </w:rPr>
        <w:t>),</w:t>
      </w:r>
      <w:r w:rsidR="00621AD2" w:rsidRPr="00E41F01">
        <w:rPr>
          <w:lang w:eastAsia="en-AU"/>
        </w:rPr>
        <w:t xml:space="preserve"> and adjusted to a declared enzyme activity.</w:t>
      </w:r>
      <w:r w:rsidRPr="00E41F01">
        <w:rPr>
          <w:lang w:eastAsia="en-AU"/>
        </w:rPr>
        <w:t xml:space="preserve"> </w:t>
      </w:r>
    </w:p>
    <w:p w14:paraId="5E45F093" w14:textId="77777777" w:rsidR="00CB6844" w:rsidRPr="00CB6844" w:rsidRDefault="00CB6844" w:rsidP="00CB6844">
      <w:pPr>
        <w:rPr>
          <w:color w:val="BFBFBF" w:themeColor="background1" w:themeShade="BF"/>
          <w:lang w:eastAsia="en-AU"/>
        </w:rPr>
      </w:pPr>
    </w:p>
    <w:p w14:paraId="4CA607F3" w14:textId="76F302C1" w:rsidR="00E41F01" w:rsidRDefault="00E41F01" w:rsidP="00721B08">
      <w:pPr>
        <w:rPr>
          <w:color w:val="BFBFBF" w:themeColor="background1" w:themeShade="BF"/>
          <w:lang w:eastAsia="en-AU"/>
        </w:rPr>
      </w:pPr>
      <w:r w:rsidRPr="00600219">
        <w:rPr>
          <w:lang w:eastAsia="en-AU"/>
        </w:rPr>
        <w:t xml:space="preserve">The applicant states that fermentation is carried out in accordance with current Good </w:t>
      </w:r>
      <w:r w:rsidRPr="00600219">
        <w:rPr>
          <w:lang w:eastAsia="en-AU"/>
        </w:rPr>
        <w:lastRenderedPageBreak/>
        <w:t xml:space="preserve">Manufacturing Practice (cGMP) and the principles of Hazard Analysis and Critical Control Points (HACCP). The manufacturing facility is ISO 9001, ISO 22000 (Food Safety Management System) and GMP </w:t>
      </w:r>
      <w:r w:rsidR="00F8790E">
        <w:rPr>
          <w:lang w:eastAsia="en-AU"/>
        </w:rPr>
        <w:t>(</w:t>
      </w:r>
      <w:r w:rsidR="00F8790E" w:rsidRPr="00F8790E">
        <w:rPr>
          <w:lang w:eastAsia="en-AU"/>
        </w:rPr>
        <w:t>Good Manufacturing Practice</w:t>
      </w:r>
      <w:r w:rsidR="00F8790E">
        <w:rPr>
          <w:lang w:eastAsia="en-AU"/>
        </w:rPr>
        <w:t>)</w:t>
      </w:r>
      <w:r w:rsidR="00F8790E" w:rsidRPr="00F8790E">
        <w:rPr>
          <w:lang w:eastAsia="en-AU"/>
        </w:rPr>
        <w:t xml:space="preserve"> </w:t>
      </w:r>
      <w:r w:rsidRPr="00600219">
        <w:rPr>
          <w:lang w:eastAsia="en-AU"/>
        </w:rPr>
        <w:t>certified</w:t>
      </w:r>
      <w:r w:rsidR="00600219" w:rsidRPr="00600219">
        <w:rPr>
          <w:lang w:eastAsia="en-AU"/>
        </w:rPr>
        <w:t>.</w:t>
      </w:r>
      <w:r w:rsidRPr="00600219">
        <w:rPr>
          <w:lang w:eastAsia="en-AU"/>
        </w:rPr>
        <w:t xml:space="preserve"> </w:t>
      </w:r>
    </w:p>
    <w:p w14:paraId="3F32F0D6" w14:textId="77777777" w:rsidR="00CB6844" w:rsidRPr="00CB6844" w:rsidRDefault="00CB6844" w:rsidP="00477F42">
      <w:pPr>
        <w:pStyle w:val="Heading3"/>
      </w:pPr>
      <w:bookmarkStart w:id="62" w:name="_Toc14167678"/>
      <w:bookmarkStart w:id="63" w:name="_Toc14167749"/>
      <w:bookmarkStart w:id="64" w:name="_Toc30154600"/>
      <w:bookmarkStart w:id="65" w:name="_Toc85204763"/>
      <w:bookmarkStart w:id="66" w:name="_Toc85211325"/>
      <w:bookmarkStart w:id="67" w:name="_Toc87259300"/>
      <w:bookmarkEnd w:id="62"/>
      <w:bookmarkEnd w:id="63"/>
      <w:r w:rsidRPr="00CB6844">
        <w:t>2.2.2</w:t>
      </w:r>
      <w:r w:rsidRPr="00CB6844">
        <w:tab/>
        <w:t>Allergen considerations</w:t>
      </w:r>
      <w:bookmarkEnd w:id="64"/>
      <w:bookmarkEnd w:id="65"/>
      <w:bookmarkEnd w:id="66"/>
      <w:bookmarkEnd w:id="67"/>
    </w:p>
    <w:p w14:paraId="4DA62612" w14:textId="3791B1E4" w:rsidR="00F25DC3" w:rsidRDefault="00CB7E06" w:rsidP="001C4DBF">
      <w:pPr>
        <w:rPr>
          <w:lang w:eastAsia="en-AU" w:bidi="ar-SA"/>
        </w:rPr>
      </w:pPr>
      <w:bookmarkStart w:id="68" w:name="_Toc536543993"/>
      <w:bookmarkStart w:id="69" w:name="_Toc536607128"/>
      <w:r w:rsidRPr="001C4DBF">
        <w:rPr>
          <w:lang w:eastAsia="en-AU" w:bidi="ar-SA"/>
        </w:rPr>
        <w:t>The applicant has stated that materials us</w:t>
      </w:r>
      <w:r w:rsidR="001C4DBF" w:rsidRPr="001C4DBF">
        <w:rPr>
          <w:lang w:eastAsia="en-AU" w:bidi="ar-SA"/>
        </w:rPr>
        <w:t xml:space="preserve">ed in the fermentation process do not contain </w:t>
      </w:r>
      <w:r w:rsidRPr="001C4DBF">
        <w:rPr>
          <w:lang w:eastAsia="en-AU" w:bidi="ar-SA"/>
        </w:rPr>
        <w:t>ingredients based on any of the top eight allergens</w:t>
      </w:r>
      <w:r w:rsidR="001C4DBF" w:rsidRPr="001C4DBF">
        <w:rPr>
          <w:rStyle w:val="FootnoteReference"/>
          <w:lang w:eastAsia="en-AU" w:bidi="ar-SA"/>
        </w:rPr>
        <w:footnoteReference w:id="8"/>
      </w:r>
      <w:r w:rsidRPr="001C4DBF">
        <w:rPr>
          <w:lang w:eastAsia="en-AU" w:bidi="ar-SA"/>
        </w:rPr>
        <w:t xml:space="preserve"> </w:t>
      </w:r>
      <w:r w:rsidRPr="00B951F8">
        <w:rPr>
          <w:lang w:eastAsia="en-AU" w:bidi="ar-SA"/>
        </w:rPr>
        <w:t>(FALCPA 2004).</w:t>
      </w:r>
      <w:r w:rsidR="001C4DBF" w:rsidRPr="001C4DBF">
        <w:rPr>
          <w:lang w:eastAsia="en-AU" w:bidi="ar-SA"/>
        </w:rPr>
        <w:t xml:space="preserve"> In addition, </w:t>
      </w:r>
      <w:r w:rsidR="00FF6551">
        <w:rPr>
          <w:lang w:eastAsia="en-AU" w:bidi="ar-SA"/>
        </w:rPr>
        <w:t>n</w:t>
      </w:r>
      <w:r w:rsidRPr="001C4DBF">
        <w:rPr>
          <w:lang w:eastAsia="en-AU" w:bidi="ar-SA"/>
        </w:rPr>
        <w:t xml:space="preserve">o allergenic ingredients are added </w:t>
      </w:r>
      <w:r w:rsidR="001C4DBF">
        <w:rPr>
          <w:lang w:eastAsia="en-AU" w:bidi="ar-SA"/>
        </w:rPr>
        <w:t xml:space="preserve">to the enzyme preparation post fermentation, during recovery, purification </w:t>
      </w:r>
      <w:r w:rsidR="00FF6551">
        <w:rPr>
          <w:lang w:eastAsia="en-AU" w:bidi="ar-SA"/>
        </w:rPr>
        <w:t>or</w:t>
      </w:r>
      <w:r w:rsidR="001C4DBF">
        <w:rPr>
          <w:lang w:eastAsia="en-AU" w:bidi="ar-SA"/>
        </w:rPr>
        <w:t xml:space="preserve"> formulation. The applicant has provided documentation to support this claim, which </w:t>
      </w:r>
      <w:r w:rsidR="00992118">
        <w:rPr>
          <w:lang w:eastAsia="en-AU" w:bidi="ar-SA"/>
        </w:rPr>
        <w:t xml:space="preserve">also </w:t>
      </w:r>
      <w:r w:rsidR="001C4DBF">
        <w:rPr>
          <w:lang w:eastAsia="en-AU" w:bidi="ar-SA"/>
        </w:rPr>
        <w:t xml:space="preserve">substantiates the nil presence of </w:t>
      </w:r>
      <w:r w:rsidR="00F25DC3">
        <w:rPr>
          <w:lang w:eastAsia="en-AU" w:bidi="ar-SA"/>
        </w:rPr>
        <w:t xml:space="preserve">substances additional to those listed by FALCPA, namely, </w:t>
      </w:r>
      <w:r w:rsidR="00B922BB">
        <w:rPr>
          <w:lang w:eastAsia="en-AU" w:bidi="ar-SA"/>
        </w:rPr>
        <w:t xml:space="preserve">sesame seeds (and products thereof), sulphur dioxide and sulphites at concentrations of </w:t>
      </w:r>
      <w:r w:rsidR="00454ECE">
        <w:rPr>
          <w:lang w:eastAsia="en-AU" w:bidi="ar-SA"/>
        </w:rPr>
        <w:t xml:space="preserve">not </w:t>
      </w:r>
      <w:r w:rsidR="00B922BB">
        <w:rPr>
          <w:lang w:eastAsia="en-AU" w:bidi="ar-SA"/>
        </w:rPr>
        <w:t>more than 10 mg/kg, lupin (and products thereof)</w:t>
      </w:r>
      <w:r w:rsidR="00454ECE">
        <w:rPr>
          <w:lang w:eastAsia="en-AU" w:bidi="ar-SA"/>
        </w:rPr>
        <w:t>,</w:t>
      </w:r>
      <w:r w:rsidR="00B922BB">
        <w:rPr>
          <w:lang w:eastAsia="en-AU" w:bidi="ar-SA"/>
        </w:rPr>
        <w:t xml:space="preserve"> and molluscs (and products thereof) – </w:t>
      </w:r>
      <w:r w:rsidR="00992118">
        <w:rPr>
          <w:lang w:eastAsia="en-AU" w:bidi="ar-SA"/>
        </w:rPr>
        <w:t>FSANZ notes</w:t>
      </w:r>
      <w:r w:rsidR="00B922BB" w:rsidRPr="00B951F8">
        <w:rPr>
          <w:lang w:eastAsia="en-AU" w:bidi="ar-SA"/>
        </w:rPr>
        <w:t xml:space="preserve"> </w:t>
      </w:r>
      <w:r w:rsidR="005B6122" w:rsidRPr="00B951F8">
        <w:rPr>
          <w:lang w:eastAsia="en-AU" w:bidi="ar-SA"/>
        </w:rPr>
        <w:t xml:space="preserve">that </w:t>
      </w:r>
      <w:r w:rsidR="00B922BB" w:rsidRPr="00B951F8">
        <w:rPr>
          <w:lang w:eastAsia="en-AU" w:bidi="ar-SA"/>
        </w:rPr>
        <w:t xml:space="preserve">mandatory </w:t>
      </w:r>
      <w:r w:rsidR="00277A30">
        <w:rPr>
          <w:lang w:eastAsia="en-AU" w:bidi="ar-SA"/>
        </w:rPr>
        <w:t xml:space="preserve">allergen </w:t>
      </w:r>
      <w:r w:rsidR="00B922BB" w:rsidRPr="00B951F8">
        <w:rPr>
          <w:lang w:eastAsia="en-AU" w:bidi="ar-SA"/>
        </w:rPr>
        <w:t>labelling requirements in the Code also extend to these foods.</w:t>
      </w:r>
      <w:r w:rsidR="005B6122">
        <w:rPr>
          <w:lang w:eastAsia="en-AU" w:bidi="ar-SA"/>
        </w:rPr>
        <w:t xml:space="preserve"> </w:t>
      </w:r>
      <w:r w:rsidR="00F25DC3" w:rsidRPr="00F25DC3">
        <w:rPr>
          <w:lang w:eastAsia="en-AU" w:bidi="ar-SA"/>
        </w:rPr>
        <w:t>See also section 3.3.</w:t>
      </w:r>
      <w:r w:rsidR="00B951F8">
        <w:rPr>
          <w:lang w:eastAsia="en-AU" w:bidi="ar-SA"/>
        </w:rPr>
        <w:t>5</w:t>
      </w:r>
      <w:r w:rsidR="00F25DC3" w:rsidRPr="00F25DC3">
        <w:rPr>
          <w:lang w:eastAsia="en-AU" w:bidi="ar-SA"/>
        </w:rPr>
        <w:t xml:space="preserve"> regarding the allergen homology search results.</w:t>
      </w:r>
    </w:p>
    <w:p w14:paraId="6D267016" w14:textId="77777777" w:rsidR="00CB6844" w:rsidRPr="00CB6844" w:rsidRDefault="00CB6844" w:rsidP="00477F42">
      <w:pPr>
        <w:pStyle w:val="Heading3"/>
      </w:pPr>
      <w:bookmarkStart w:id="70" w:name="_Toc30154601"/>
      <w:bookmarkStart w:id="71" w:name="_Toc85204764"/>
      <w:bookmarkStart w:id="72" w:name="_Toc85211326"/>
      <w:bookmarkStart w:id="73" w:name="_Toc87259301"/>
      <w:r w:rsidRPr="00CB6844">
        <w:t>2.2.3</w:t>
      </w:r>
      <w:r w:rsidRPr="00CB6844">
        <w:tab/>
        <w:t>Specifications</w:t>
      </w:r>
      <w:bookmarkEnd w:id="68"/>
      <w:bookmarkEnd w:id="69"/>
      <w:bookmarkEnd w:id="70"/>
      <w:bookmarkEnd w:id="71"/>
      <w:bookmarkEnd w:id="72"/>
      <w:bookmarkEnd w:id="73"/>
    </w:p>
    <w:p w14:paraId="76A6EEEE" w14:textId="71575B4F" w:rsidR="00CB6844" w:rsidRPr="005B6122" w:rsidRDefault="00CB6844" w:rsidP="00CB6844">
      <w:r w:rsidRPr="005B6122">
        <w:t xml:space="preserve">The JECFA </w:t>
      </w:r>
      <w:r w:rsidR="005B6122">
        <w:t xml:space="preserve">Combined </w:t>
      </w:r>
      <w:r w:rsidRPr="005B6122">
        <w:t>Compendium of Food Additive Specifications (</w:t>
      </w:r>
      <w:r w:rsidR="00B25B82">
        <w:t xml:space="preserve">FAO/WHO </w:t>
      </w:r>
      <w:r w:rsidRPr="005B6122">
        <w:t>20</w:t>
      </w:r>
      <w:r w:rsidR="00B25B82">
        <w:t>06</w:t>
      </w:r>
      <w:r w:rsidRPr="005B6122">
        <w:t>) and the Food Chemicals Codex 1</w:t>
      </w:r>
      <w:r w:rsidR="00B25B82">
        <w:t>2</w:t>
      </w:r>
      <w:r w:rsidRPr="005B6122">
        <w:rPr>
          <w:vertAlign w:val="superscript"/>
        </w:rPr>
        <w:t>th</w:t>
      </w:r>
      <w:r w:rsidRPr="005B6122">
        <w:t xml:space="preserve"> edition (</w:t>
      </w:r>
      <w:r w:rsidR="00B25B82">
        <w:t xml:space="preserve">The United States Pharmacopeia </w:t>
      </w:r>
      <w:r w:rsidRPr="005B6122">
        <w:t>20</w:t>
      </w:r>
      <w:r w:rsidR="00B25B82">
        <w:t>20</w:t>
      </w:r>
      <w:r w:rsidRPr="005B6122">
        <w:t xml:space="preserve">) are international specifications for enzymes used in the production of food. These are primary sources of specifications listed in section S3—2 of Schedule 3 of the Code. Enzymes need to meet these specifications. Schedule 3 of the Code also includes specifications for heavy metals (section S3—4) if they are not already detailed within specifications in sections S3—2 or S3—3. </w:t>
      </w:r>
    </w:p>
    <w:p w14:paraId="7D2912DF" w14:textId="77777777" w:rsidR="00CB6844" w:rsidRPr="005B6122" w:rsidRDefault="00CB6844" w:rsidP="00CB6844"/>
    <w:p w14:paraId="2BC6034D" w14:textId="0BDDDEC4" w:rsidR="00CB6844" w:rsidRPr="005B6122" w:rsidRDefault="00CB6844" w:rsidP="00CB6844">
      <w:r w:rsidRPr="005B6122">
        <w:t xml:space="preserve">Table 2 provides a comparison of the analysis of </w:t>
      </w:r>
      <w:r w:rsidR="005B6122">
        <w:t xml:space="preserve">three </w:t>
      </w:r>
      <w:r w:rsidRPr="005B6122">
        <w:t xml:space="preserve">different batches of the </w:t>
      </w:r>
      <w:r w:rsidR="005B6122">
        <w:t xml:space="preserve">maltogenic alpha </w:t>
      </w:r>
      <w:r w:rsidRPr="005B6122">
        <w:t>amylase product with international specifications established by JECFA and Food Chemicals Codex, as well as those in the Code (as applicable). Based on these results, the enzyme preparation meets all relevant specifications.</w:t>
      </w:r>
    </w:p>
    <w:p w14:paraId="66797869" w14:textId="77777777" w:rsidR="00CB6844" w:rsidRPr="00CB6844" w:rsidRDefault="00CB6844" w:rsidP="00CB6844">
      <w:pPr>
        <w:rPr>
          <w:color w:val="BFBFBF" w:themeColor="background1" w:themeShade="BF"/>
        </w:rPr>
      </w:pPr>
    </w:p>
    <w:p w14:paraId="5D0D535F" w14:textId="3A7D310B" w:rsidR="00CB6844" w:rsidRPr="005B6122" w:rsidRDefault="00CB6844" w:rsidP="00CB6844">
      <w:pPr>
        <w:pStyle w:val="FSTableTitle"/>
        <w:keepNext/>
        <w:keepLines/>
        <w:spacing w:after="240"/>
        <w:ind w:left="1134" w:hanging="1134"/>
        <w:rPr>
          <w:b w:val="0"/>
          <w:i/>
          <w:sz w:val="24"/>
        </w:rPr>
      </w:pPr>
      <w:r w:rsidRPr="005B6122">
        <w:rPr>
          <w:i/>
        </w:rPr>
        <w:lastRenderedPageBreak/>
        <w:t>Table 2</w:t>
      </w:r>
      <w:r w:rsidRPr="005B6122">
        <w:rPr>
          <w:i/>
          <w:szCs w:val="20"/>
        </w:rPr>
        <w:tab/>
      </w:r>
      <w:r w:rsidRPr="005B6122">
        <w:rPr>
          <w:b w:val="0"/>
          <w:i/>
        </w:rPr>
        <w:t xml:space="preserve">Analysis of enzyme </w:t>
      </w:r>
      <w:r w:rsidR="005B6122">
        <w:rPr>
          <w:b w:val="0"/>
          <w:i/>
        </w:rPr>
        <w:t xml:space="preserve">maltogenic </w:t>
      </w:r>
      <w:r w:rsidRPr="005B6122">
        <w:rPr>
          <w:b w:val="0"/>
          <w:i/>
        </w:rPr>
        <w:t>alpha</w:t>
      </w:r>
      <w:r w:rsidR="007F0605">
        <w:rPr>
          <w:b w:val="0"/>
          <w:i/>
        </w:rPr>
        <w:t xml:space="preserve"> </w:t>
      </w:r>
      <w:r w:rsidRPr="005B6122">
        <w:rPr>
          <w:b w:val="0"/>
          <w:i/>
        </w:rPr>
        <w:t xml:space="preserve">amylase compared to JECFA, Food Chemicals Codex, and Code specifications for enzymes (3 batches) </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127"/>
        <w:gridCol w:w="1872"/>
        <w:gridCol w:w="1671"/>
        <w:gridCol w:w="1594"/>
        <w:gridCol w:w="1667"/>
      </w:tblGrid>
      <w:tr w:rsidR="00D90D08" w:rsidRPr="007F0605" w14:paraId="0CF1019E" w14:textId="77777777" w:rsidTr="00D90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vMerge w:val="restart"/>
            <w:shd w:val="clear" w:color="99CCFF" w:fill="616571"/>
            <w:vAlign w:val="center"/>
          </w:tcPr>
          <w:p w14:paraId="63444DAF" w14:textId="77777777" w:rsidR="00CB6844" w:rsidRPr="007F0605" w:rsidRDefault="00CB6844" w:rsidP="005F4318">
            <w:pPr>
              <w:keepNext/>
              <w:keepLines/>
              <w:spacing w:before="60" w:after="60"/>
              <w:jc w:val="center"/>
              <w:rPr>
                <w:rFonts w:cs="Arial"/>
                <w:b w:val="0"/>
                <w:bCs w:val="0"/>
                <w:i w:val="0"/>
                <w:iCs w:val="0"/>
                <w:color w:val="FFFFFF" w:themeColor="background1"/>
                <w:sz w:val="20"/>
                <w:szCs w:val="20"/>
              </w:rPr>
            </w:pPr>
          </w:p>
          <w:p w14:paraId="4E651B2C" w14:textId="77777777" w:rsidR="00CB6844" w:rsidRPr="007F0605" w:rsidRDefault="00CB6844" w:rsidP="005F4318">
            <w:pPr>
              <w:keepNext/>
              <w:keepLines/>
              <w:spacing w:before="60" w:after="60"/>
              <w:jc w:val="center"/>
              <w:rPr>
                <w:rFonts w:cs="Arial"/>
                <w:i w:val="0"/>
                <w:color w:val="FFFFFF" w:themeColor="background1"/>
                <w:sz w:val="20"/>
                <w:szCs w:val="20"/>
              </w:rPr>
            </w:pPr>
            <w:r w:rsidRPr="007F0605">
              <w:rPr>
                <w:rFonts w:cs="Arial"/>
                <w:i w:val="0"/>
                <w:color w:val="FFFFFF" w:themeColor="background1"/>
                <w:sz w:val="20"/>
                <w:szCs w:val="20"/>
              </w:rPr>
              <w:t xml:space="preserve">Analysis </w:t>
            </w:r>
          </w:p>
        </w:tc>
        <w:tc>
          <w:tcPr>
            <w:tcW w:w="1872" w:type="dxa"/>
            <w:vMerge w:val="restart"/>
            <w:shd w:val="clear" w:color="99CCFF" w:fill="616571"/>
            <w:vAlign w:val="center"/>
          </w:tcPr>
          <w:p w14:paraId="17D056B5" w14:textId="76C0DFBE" w:rsidR="00CB6844" w:rsidRPr="007F0605" w:rsidRDefault="00D90D08" w:rsidP="00D90D0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Analytical results provided by the applicant</w:t>
            </w:r>
          </w:p>
        </w:tc>
        <w:tc>
          <w:tcPr>
            <w:tcW w:w="4932" w:type="dxa"/>
            <w:gridSpan w:val="3"/>
            <w:shd w:val="clear" w:color="99CCFF" w:fill="616571"/>
          </w:tcPr>
          <w:p w14:paraId="2E9B0A90" w14:textId="77777777" w:rsidR="00CB6844" w:rsidRPr="007F0605" w:rsidRDefault="00CB6844" w:rsidP="005F431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7F0605">
              <w:rPr>
                <w:rFonts w:cs="Arial"/>
                <w:i w:val="0"/>
                <w:color w:val="FFFFFF" w:themeColor="background1"/>
                <w:sz w:val="20"/>
                <w:szCs w:val="20"/>
              </w:rPr>
              <w:t>Specifications</w:t>
            </w:r>
          </w:p>
        </w:tc>
      </w:tr>
      <w:tr w:rsidR="00D90D08" w:rsidRPr="007F0605" w14:paraId="3E517E86" w14:textId="77777777" w:rsidTr="00D90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vMerge/>
            <w:shd w:val="clear" w:color="99CCFF" w:fill="616571"/>
          </w:tcPr>
          <w:p w14:paraId="14D7D2EF" w14:textId="77777777" w:rsidR="00CB6844" w:rsidRPr="007F0605" w:rsidRDefault="00CB6844" w:rsidP="005F4318">
            <w:pPr>
              <w:keepNext/>
              <w:keepLines/>
              <w:spacing w:before="60" w:after="60"/>
              <w:rPr>
                <w:rFonts w:cs="Arial"/>
                <w:color w:val="FFFFFF" w:themeColor="background1"/>
                <w:sz w:val="20"/>
                <w:szCs w:val="20"/>
              </w:rPr>
            </w:pPr>
          </w:p>
        </w:tc>
        <w:tc>
          <w:tcPr>
            <w:tcW w:w="1872" w:type="dxa"/>
            <w:vMerge/>
            <w:shd w:val="clear" w:color="99CCFF" w:fill="616571"/>
          </w:tcPr>
          <w:p w14:paraId="36C3C7B5" w14:textId="77777777" w:rsidR="00CB6844" w:rsidRPr="007F0605" w:rsidRDefault="00CB6844" w:rsidP="005F431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0FD13D07" w14:textId="7EDF5CA9" w:rsidR="00CB6844" w:rsidRPr="0068106D" w:rsidRDefault="0068106D" w:rsidP="0068106D">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68106D">
              <w:rPr>
                <w:rFonts w:cs="Arial"/>
                <w:b w:val="0"/>
                <w:color w:val="FFFFFF" w:themeColor="background1"/>
                <w:sz w:val="20"/>
                <w:szCs w:val="20"/>
              </w:rPr>
              <w:t>JECFA</w:t>
            </w:r>
          </w:p>
        </w:tc>
        <w:tc>
          <w:tcPr>
            <w:tcW w:w="1594" w:type="dxa"/>
            <w:shd w:val="clear" w:color="99CCFF" w:fill="616571"/>
            <w:vAlign w:val="center"/>
          </w:tcPr>
          <w:p w14:paraId="691EF9F3" w14:textId="77777777" w:rsidR="00CB6844" w:rsidRPr="007F0605" w:rsidRDefault="00CB6844" w:rsidP="005F431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7F0605">
              <w:rPr>
                <w:rFonts w:cs="Arial"/>
                <w:b w:val="0"/>
                <w:color w:val="FFFFFF" w:themeColor="background1"/>
                <w:sz w:val="20"/>
                <w:szCs w:val="20"/>
              </w:rPr>
              <w:t>Food Chemicals Codex</w:t>
            </w:r>
          </w:p>
        </w:tc>
        <w:tc>
          <w:tcPr>
            <w:tcW w:w="1667" w:type="dxa"/>
            <w:shd w:val="clear" w:color="99CCFF" w:fill="616571"/>
            <w:vAlign w:val="center"/>
          </w:tcPr>
          <w:p w14:paraId="6467D942" w14:textId="77777777" w:rsidR="00CB6844" w:rsidRPr="007F0605" w:rsidRDefault="00CB6844" w:rsidP="005F431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7F0605">
              <w:rPr>
                <w:rFonts w:cs="Arial"/>
                <w:b w:val="0"/>
                <w:color w:val="FFFFFF" w:themeColor="background1"/>
                <w:sz w:val="20"/>
                <w:szCs w:val="20"/>
              </w:rPr>
              <w:t>Australia New Zealand Food Standards Code</w:t>
            </w:r>
          </w:p>
          <w:p w14:paraId="7F06AE16" w14:textId="77777777" w:rsidR="00CB6844" w:rsidRPr="007F0605" w:rsidRDefault="00CB6844" w:rsidP="005F431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7F0605">
              <w:rPr>
                <w:rFonts w:cs="Arial"/>
                <w:b w:val="0"/>
                <w:color w:val="FFFFFF" w:themeColor="background1"/>
                <w:sz w:val="20"/>
                <w:szCs w:val="20"/>
              </w:rPr>
              <w:t>(section S3—4)</w:t>
            </w:r>
          </w:p>
        </w:tc>
      </w:tr>
      <w:tr w:rsidR="00D90D08" w:rsidRPr="007F0605" w14:paraId="67A58743" w14:textId="77777777" w:rsidTr="00D90D08">
        <w:tc>
          <w:tcPr>
            <w:cnfStyle w:val="001000000000" w:firstRow="0" w:lastRow="0" w:firstColumn="1" w:lastColumn="0" w:oddVBand="0" w:evenVBand="0" w:oddHBand="0" w:evenHBand="0" w:firstRowFirstColumn="0" w:firstRowLastColumn="0" w:lastRowFirstColumn="0" w:lastRowLastColumn="0"/>
            <w:tcW w:w="2127" w:type="dxa"/>
            <w:shd w:val="clear" w:color="auto" w:fill="ECECEC"/>
          </w:tcPr>
          <w:p w14:paraId="576FB052" w14:textId="77777777" w:rsidR="00CB6844" w:rsidRPr="007F0605" w:rsidRDefault="00CB6844" w:rsidP="005F4318">
            <w:pPr>
              <w:spacing w:before="60" w:after="60"/>
              <w:rPr>
                <w:b w:val="0"/>
                <w:sz w:val="20"/>
                <w:szCs w:val="20"/>
              </w:rPr>
            </w:pPr>
            <w:r w:rsidRPr="007F0605">
              <w:rPr>
                <w:b w:val="0"/>
                <w:sz w:val="20"/>
                <w:szCs w:val="20"/>
              </w:rPr>
              <w:t>Lead (mg/kg)</w:t>
            </w:r>
          </w:p>
        </w:tc>
        <w:tc>
          <w:tcPr>
            <w:tcW w:w="1872" w:type="dxa"/>
            <w:shd w:val="clear" w:color="auto" w:fill="ECECEC"/>
          </w:tcPr>
          <w:p w14:paraId="72CC2B3A" w14:textId="7471CB90" w:rsidR="00CB6844" w:rsidRPr="007F0605" w:rsidRDefault="00D90D08"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&lt;0.1</w:t>
            </w:r>
          </w:p>
        </w:tc>
        <w:tc>
          <w:tcPr>
            <w:tcW w:w="1671" w:type="dxa"/>
            <w:shd w:val="clear" w:color="auto" w:fill="ECECEC"/>
          </w:tcPr>
          <w:p w14:paraId="1DA3506D"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 5</w:t>
            </w:r>
          </w:p>
        </w:tc>
        <w:tc>
          <w:tcPr>
            <w:tcW w:w="1594" w:type="dxa"/>
            <w:shd w:val="clear" w:color="auto" w:fill="ECECEC"/>
          </w:tcPr>
          <w:p w14:paraId="1D511EEC"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 5</w:t>
            </w:r>
          </w:p>
        </w:tc>
        <w:tc>
          <w:tcPr>
            <w:tcW w:w="1667" w:type="dxa"/>
            <w:shd w:val="clear" w:color="auto" w:fill="ECECEC"/>
          </w:tcPr>
          <w:p w14:paraId="4C1BF57D"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≤2</w:t>
            </w:r>
          </w:p>
        </w:tc>
      </w:tr>
      <w:tr w:rsidR="00D90D08" w:rsidRPr="007F0605" w14:paraId="3C1F757A" w14:textId="77777777" w:rsidTr="00D90D08">
        <w:tc>
          <w:tcPr>
            <w:cnfStyle w:val="001000000000" w:firstRow="0" w:lastRow="0" w:firstColumn="1" w:lastColumn="0" w:oddVBand="0" w:evenVBand="0" w:oddHBand="0" w:evenHBand="0" w:firstRowFirstColumn="0" w:firstRowLastColumn="0" w:lastRowFirstColumn="0" w:lastRowLastColumn="0"/>
            <w:tcW w:w="2127" w:type="dxa"/>
          </w:tcPr>
          <w:p w14:paraId="544300C9" w14:textId="77777777" w:rsidR="00CB6844" w:rsidRPr="007F0605" w:rsidRDefault="00CB6844" w:rsidP="005F4318">
            <w:pPr>
              <w:spacing w:before="60" w:after="60"/>
              <w:rPr>
                <w:b w:val="0"/>
                <w:bCs w:val="0"/>
                <w:i/>
                <w:sz w:val="20"/>
                <w:szCs w:val="20"/>
              </w:rPr>
            </w:pPr>
            <w:r w:rsidRPr="007F0605">
              <w:rPr>
                <w:b w:val="0"/>
                <w:sz w:val="20"/>
                <w:szCs w:val="20"/>
              </w:rPr>
              <w:t>Arsenic (mg/kg)</w:t>
            </w:r>
          </w:p>
        </w:tc>
        <w:tc>
          <w:tcPr>
            <w:tcW w:w="1872" w:type="dxa"/>
          </w:tcPr>
          <w:p w14:paraId="29820AFE" w14:textId="4CD0A33E" w:rsidR="00CB6844" w:rsidRPr="007F0605" w:rsidRDefault="00D90D08" w:rsidP="00D90D0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w:t>
            </w:r>
          </w:p>
        </w:tc>
        <w:tc>
          <w:tcPr>
            <w:tcW w:w="1671" w:type="dxa"/>
          </w:tcPr>
          <w:p w14:paraId="7CEC824B"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594" w:type="dxa"/>
          </w:tcPr>
          <w:p w14:paraId="184F7727"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667" w:type="dxa"/>
          </w:tcPr>
          <w:p w14:paraId="3B9AC90B"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≤1</w:t>
            </w:r>
          </w:p>
        </w:tc>
      </w:tr>
      <w:tr w:rsidR="00D90D08" w:rsidRPr="007F0605" w14:paraId="2265187C"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bottom w:val="nil"/>
            </w:tcBorders>
            <w:shd w:val="clear" w:color="auto" w:fill="ECECEC"/>
          </w:tcPr>
          <w:p w14:paraId="1DEA91EE" w14:textId="77777777" w:rsidR="00CB6844" w:rsidRPr="007F0605" w:rsidRDefault="00CB6844" w:rsidP="005F4318">
            <w:pPr>
              <w:spacing w:before="60" w:after="60"/>
              <w:rPr>
                <w:b w:val="0"/>
                <w:sz w:val="20"/>
                <w:szCs w:val="20"/>
              </w:rPr>
            </w:pPr>
            <w:r w:rsidRPr="007F0605">
              <w:rPr>
                <w:b w:val="0"/>
                <w:sz w:val="20"/>
                <w:szCs w:val="20"/>
              </w:rPr>
              <w:t>Cadmium (mg/kg)</w:t>
            </w:r>
          </w:p>
        </w:tc>
        <w:tc>
          <w:tcPr>
            <w:tcW w:w="1872" w:type="dxa"/>
            <w:tcBorders>
              <w:bottom w:val="nil"/>
            </w:tcBorders>
            <w:shd w:val="clear" w:color="auto" w:fill="ECECEC"/>
          </w:tcPr>
          <w:p w14:paraId="4AED0B50" w14:textId="5F1B5ADD" w:rsidR="00CB6844" w:rsidRPr="007F0605" w:rsidRDefault="00D90D08"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&lt;0.1</w:t>
            </w:r>
          </w:p>
        </w:tc>
        <w:tc>
          <w:tcPr>
            <w:tcW w:w="1671" w:type="dxa"/>
            <w:tcBorders>
              <w:bottom w:val="nil"/>
            </w:tcBorders>
            <w:shd w:val="clear" w:color="auto" w:fill="ECECEC"/>
          </w:tcPr>
          <w:p w14:paraId="02D7CA37"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594" w:type="dxa"/>
            <w:tcBorders>
              <w:bottom w:val="nil"/>
            </w:tcBorders>
            <w:shd w:val="clear" w:color="auto" w:fill="ECECEC"/>
          </w:tcPr>
          <w:p w14:paraId="2B7564C4"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667" w:type="dxa"/>
            <w:tcBorders>
              <w:bottom w:val="nil"/>
            </w:tcBorders>
            <w:shd w:val="clear" w:color="auto" w:fill="ECECEC"/>
          </w:tcPr>
          <w:p w14:paraId="51A7834E"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≤1</w:t>
            </w:r>
          </w:p>
        </w:tc>
      </w:tr>
      <w:tr w:rsidR="00D90D08" w:rsidRPr="007F0605" w14:paraId="05A4A399"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ECECEC"/>
            </w:tcBorders>
          </w:tcPr>
          <w:p w14:paraId="1B691C06" w14:textId="77777777" w:rsidR="00CB6844" w:rsidRPr="007F0605" w:rsidRDefault="00CB6844" w:rsidP="005F4318">
            <w:pPr>
              <w:spacing w:before="60" w:after="60"/>
              <w:rPr>
                <w:b w:val="0"/>
                <w:sz w:val="20"/>
                <w:szCs w:val="20"/>
              </w:rPr>
            </w:pPr>
            <w:r w:rsidRPr="007F0605">
              <w:rPr>
                <w:b w:val="0"/>
                <w:sz w:val="20"/>
                <w:szCs w:val="20"/>
              </w:rPr>
              <w:t>Mercury (mg/kg)</w:t>
            </w:r>
          </w:p>
        </w:tc>
        <w:tc>
          <w:tcPr>
            <w:tcW w:w="1872" w:type="dxa"/>
            <w:tcBorders>
              <w:bottom w:val="single" w:sz="4" w:space="0" w:color="ECECEC"/>
            </w:tcBorders>
          </w:tcPr>
          <w:p w14:paraId="2A64D6E4" w14:textId="645516F9" w:rsidR="00CB6844" w:rsidRPr="007F0605" w:rsidRDefault="00D90D08"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&lt;0.025</w:t>
            </w:r>
          </w:p>
        </w:tc>
        <w:tc>
          <w:tcPr>
            <w:tcW w:w="1671" w:type="dxa"/>
            <w:tcBorders>
              <w:bottom w:val="single" w:sz="4" w:space="0" w:color="ECECEC"/>
            </w:tcBorders>
          </w:tcPr>
          <w:p w14:paraId="7994B1F4"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594" w:type="dxa"/>
            <w:tcBorders>
              <w:bottom w:val="single" w:sz="4" w:space="0" w:color="ECECEC"/>
            </w:tcBorders>
          </w:tcPr>
          <w:p w14:paraId="587BE8A2"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667" w:type="dxa"/>
            <w:tcBorders>
              <w:bottom w:val="single" w:sz="4" w:space="0" w:color="ECECEC"/>
            </w:tcBorders>
          </w:tcPr>
          <w:p w14:paraId="24986698"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≤1</w:t>
            </w:r>
          </w:p>
        </w:tc>
      </w:tr>
      <w:tr w:rsidR="00D90D08" w:rsidRPr="007F0605" w14:paraId="5E887914"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ECECEC"/>
          </w:tcPr>
          <w:p w14:paraId="1824D7E9" w14:textId="77777777" w:rsidR="00CB6844" w:rsidRPr="007F0605" w:rsidRDefault="00CB6844" w:rsidP="005F4318">
            <w:pPr>
              <w:spacing w:before="60" w:after="60"/>
              <w:rPr>
                <w:b w:val="0"/>
                <w:sz w:val="20"/>
                <w:szCs w:val="20"/>
              </w:rPr>
            </w:pPr>
            <w:r w:rsidRPr="007F0605">
              <w:rPr>
                <w:b w:val="0"/>
                <w:sz w:val="20"/>
                <w:szCs w:val="20"/>
              </w:rPr>
              <w:t>Coliforms (cfu/g)</w:t>
            </w:r>
          </w:p>
        </w:tc>
        <w:tc>
          <w:tcPr>
            <w:tcW w:w="1872" w:type="dxa"/>
            <w:tcBorders>
              <w:top w:val="nil"/>
              <w:bottom w:val="nil"/>
            </w:tcBorders>
            <w:shd w:val="clear" w:color="auto" w:fill="ECECEC"/>
          </w:tcPr>
          <w:p w14:paraId="587BC961"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&lt;10</w:t>
            </w:r>
          </w:p>
        </w:tc>
        <w:tc>
          <w:tcPr>
            <w:tcW w:w="1671" w:type="dxa"/>
            <w:tcBorders>
              <w:top w:val="nil"/>
              <w:bottom w:val="nil"/>
            </w:tcBorders>
            <w:shd w:val="clear" w:color="auto" w:fill="ECECEC"/>
          </w:tcPr>
          <w:p w14:paraId="1FE96FDF"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 xml:space="preserve">≤30 </w:t>
            </w:r>
          </w:p>
        </w:tc>
        <w:tc>
          <w:tcPr>
            <w:tcW w:w="1594" w:type="dxa"/>
            <w:tcBorders>
              <w:top w:val="nil"/>
              <w:bottom w:val="nil"/>
            </w:tcBorders>
            <w:shd w:val="clear" w:color="auto" w:fill="ECECEC"/>
          </w:tcPr>
          <w:p w14:paraId="59758B7D"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≤30</w:t>
            </w:r>
          </w:p>
        </w:tc>
        <w:tc>
          <w:tcPr>
            <w:tcW w:w="1667" w:type="dxa"/>
            <w:tcBorders>
              <w:top w:val="nil"/>
              <w:bottom w:val="nil"/>
            </w:tcBorders>
            <w:shd w:val="clear" w:color="auto" w:fill="ECECEC"/>
          </w:tcPr>
          <w:p w14:paraId="0D750D36"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r>
      <w:tr w:rsidR="00D90D08" w:rsidRPr="007F0605" w14:paraId="660917E2"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499D167" w14:textId="77777777" w:rsidR="00CB6844" w:rsidRPr="007F0605" w:rsidRDefault="00CB6844" w:rsidP="005F4318">
            <w:pPr>
              <w:spacing w:before="60" w:after="60"/>
              <w:rPr>
                <w:b w:val="0"/>
                <w:sz w:val="20"/>
                <w:szCs w:val="20"/>
              </w:rPr>
            </w:pPr>
            <w:r w:rsidRPr="007F0605">
              <w:rPr>
                <w:b w:val="0"/>
                <w:i/>
                <w:sz w:val="20"/>
                <w:szCs w:val="20"/>
              </w:rPr>
              <w:t>Salmonella</w:t>
            </w:r>
            <w:r w:rsidRPr="007F0605">
              <w:rPr>
                <w:b w:val="0"/>
                <w:sz w:val="20"/>
                <w:szCs w:val="20"/>
              </w:rPr>
              <w:t xml:space="preserve"> (in 25 g)</w:t>
            </w:r>
          </w:p>
        </w:tc>
        <w:tc>
          <w:tcPr>
            <w:tcW w:w="1872" w:type="dxa"/>
            <w:tcBorders>
              <w:top w:val="nil"/>
              <w:bottom w:val="nil"/>
            </w:tcBorders>
          </w:tcPr>
          <w:p w14:paraId="0C032DCB" w14:textId="45EDB55A" w:rsidR="00CB6844" w:rsidRPr="007F0605" w:rsidRDefault="005153C2"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71008242"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Absent</w:t>
            </w:r>
          </w:p>
        </w:tc>
        <w:tc>
          <w:tcPr>
            <w:tcW w:w="1594" w:type="dxa"/>
            <w:tcBorders>
              <w:top w:val="nil"/>
              <w:bottom w:val="nil"/>
            </w:tcBorders>
          </w:tcPr>
          <w:p w14:paraId="3B92230D"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Negative</w:t>
            </w:r>
          </w:p>
        </w:tc>
        <w:tc>
          <w:tcPr>
            <w:tcW w:w="1667" w:type="dxa"/>
            <w:tcBorders>
              <w:top w:val="nil"/>
              <w:bottom w:val="nil"/>
            </w:tcBorders>
          </w:tcPr>
          <w:p w14:paraId="705773F9"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r>
      <w:tr w:rsidR="00D90D08" w:rsidRPr="007F0605" w14:paraId="7EC76E06"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bottom w:val="nil"/>
            </w:tcBorders>
            <w:shd w:val="clear" w:color="auto" w:fill="ECECEC"/>
          </w:tcPr>
          <w:p w14:paraId="05E61FD5" w14:textId="77777777" w:rsidR="00CB6844" w:rsidRPr="007F0605" w:rsidRDefault="00CB6844" w:rsidP="005F4318">
            <w:pPr>
              <w:spacing w:before="60" w:after="60"/>
              <w:rPr>
                <w:b w:val="0"/>
                <w:i/>
                <w:sz w:val="20"/>
                <w:szCs w:val="20"/>
              </w:rPr>
            </w:pPr>
            <w:r w:rsidRPr="007F0605">
              <w:rPr>
                <w:b w:val="0"/>
                <w:i/>
                <w:sz w:val="20"/>
                <w:szCs w:val="20"/>
              </w:rPr>
              <w:t xml:space="preserve">E. coli </w:t>
            </w:r>
            <w:r w:rsidRPr="007F0605">
              <w:rPr>
                <w:b w:val="0"/>
                <w:sz w:val="20"/>
                <w:szCs w:val="20"/>
              </w:rPr>
              <w:t>(in 25 g)</w:t>
            </w:r>
          </w:p>
        </w:tc>
        <w:tc>
          <w:tcPr>
            <w:tcW w:w="1872" w:type="dxa"/>
            <w:tcBorders>
              <w:bottom w:val="nil"/>
            </w:tcBorders>
            <w:shd w:val="clear" w:color="auto" w:fill="ECECEC"/>
          </w:tcPr>
          <w:p w14:paraId="685FE2FA" w14:textId="1CF621AB" w:rsidR="00CB6844" w:rsidRPr="007F0605" w:rsidRDefault="005153C2"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bottom w:val="nil"/>
            </w:tcBorders>
            <w:shd w:val="clear" w:color="auto" w:fill="ECECEC"/>
          </w:tcPr>
          <w:p w14:paraId="41937E4A"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 xml:space="preserve">Absent </w:t>
            </w:r>
          </w:p>
        </w:tc>
        <w:tc>
          <w:tcPr>
            <w:tcW w:w="1594" w:type="dxa"/>
            <w:tcBorders>
              <w:bottom w:val="nil"/>
            </w:tcBorders>
            <w:shd w:val="clear" w:color="auto" w:fill="ECECEC"/>
          </w:tcPr>
          <w:p w14:paraId="5260C52F"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667" w:type="dxa"/>
            <w:tcBorders>
              <w:bottom w:val="nil"/>
            </w:tcBorders>
            <w:shd w:val="clear" w:color="auto" w:fill="ECECEC"/>
          </w:tcPr>
          <w:p w14:paraId="65796FEB"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r>
      <w:tr w:rsidR="00D90D08" w:rsidRPr="007F0605" w14:paraId="2904DD20"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43D4CC59" w14:textId="77777777" w:rsidR="00CB6844" w:rsidRPr="007F0605" w:rsidRDefault="00CB6844" w:rsidP="005F4318">
            <w:pPr>
              <w:spacing w:before="60" w:after="60"/>
              <w:rPr>
                <w:b w:val="0"/>
                <w:i/>
                <w:sz w:val="20"/>
                <w:szCs w:val="20"/>
              </w:rPr>
            </w:pPr>
            <w:r w:rsidRPr="007F0605">
              <w:rPr>
                <w:b w:val="0"/>
                <w:sz w:val="20"/>
                <w:szCs w:val="20"/>
              </w:rPr>
              <w:t>Antimicrobial activity</w:t>
            </w:r>
          </w:p>
        </w:tc>
        <w:tc>
          <w:tcPr>
            <w:tcW w:w="1872" w:type="dxa"/>
            <w:tcBorders>
              <w:top w:val="nil"/>
              <w:bottom w:val="nil"/>
            </w:tcBorders>
          </w:tcPr>
          <w:p w14:paraId="55B04906" w14:textId="6E885D2A" w:rsidR="00CB6844" w:rsidRPr="007F0605" w:rsidRDefault="005153C2"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 by test</w:t>
            </w:r>
          </w:p>
        </w:tc>
        <w:tc>
          <w:tcPr>
            <w:tcW w:w="1671" w:type="dxa"/>
            <w:tcBorders>
              <w:top w:val="nil"/>
              <w:bottom w:val="nil"/>
            </w:tcBorders>
          </w:tcPr>
          <w:p w14:paraId="66EE4B16"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Absent</w:t>
            </w:r>
          </w:p>
        </w:tc>
        <w:tc>
          <w:tcPr>
            <w:tcW w:w="1594" w:type="dxa"/>
            <w:tcBorders>
              <w:top w:val="nil"/>
              <w:bottom w:val="nil"/>
            </w:tcBorders>
          </w:tcPr>
          <w:p w14:paraId="5EC37803"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c>
          <w:tcPr>
            <w:tcW w:w="1667" w:type="dxa"/>
            <w:tcBorders>
              <w:top w:val="nil"/>
              <w:bottom w:val="nil"/>
            </w:tcBorders>
          </w:tcPr>
          <w:p w14:paraId="0BDFEFF2"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w:t>
            </w:r>
          </w:p>
        </w:tc>
      </w:tr>
      <w:tr w:rsidR="00D90D08" w:rsidRPr="007F0605" w14:paraId="084EEDC7" w14:textId="77777777" w:rsidTr="00D90D08">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ECECEC"/>
            </w:tcBorders>
            <w:shd w:val="clear" w:color="auto" w:fill="ECECEC"/>
          </w:tcPr>
          <w:p w14:paraId="3AA3CFAB" w14:textId="77777777" w:rsidR="00CB6844" w:rsidRPr="007F0605" w:rsidRDefault="00CB6844" w:rsidP="005F4318">
            <w:pPr>
              <w:spacing w:before="60" w:after="60"/>
              <w:rPr>
                <w:b w:val="0"/>
                <w:sz w:val="20"/>
                <w:szCs w:val="20"/>
              </w:rPr>
            </w:pPr>
            <w:r w:rsidRPr="007F0605">
              <w:rPr>
                <w:b w:val="0"/>
                <w:sz w:val="20"/>
                <w:szCs w:val="20"/>
              </w:rPr>
              <w:t>Mycotoxins</w:t>
            </w:r>
          </w:p>
          <w:p w14:paraId="3962B20E" w14:textId="77777777" w:rsidR="00CB6844" w:rsidRPr="007F0605" w:rsidRDefault="00CB6844" w:rsidP="005F4318">
            <w:pPr>
              <w:spacing w:before="60" w:after="60"/>
              <w:rPr>
                <w:b w:val="0"/>
                <w:bCs w:val="0"/>
                <w:sz w:val="20"/>
                <w:szCs w:val="20"/>
              </w:rPr>
            </w:pPr>
            <w:r w:rsidRPr="007F0605">
              <w:rPr>
                <w:b w:val="0"/>
                <w:sz w:val="20"/>
                <w:szCs w:val="20"/>
                <w:highlight w:val="yellow"/>
              </w:rPr>
              <w:t xml:space="preserve"> </w:t>
            </w:r>
          </w:p>
          <w:p w14:paraId="1A55A23F" w14:textId="77777777" w:rsidR="00CB6844" w:rsidRPr="007F0605" w:rsidRDefault="00CB6844" w:rsidP="005F4318">
            <w:pPr>
              <w:spacing w:before="60" w:after="60"/>
              <w:rPr>
                <w:sz w:val="20"/>
                <w:szCs w:val="20"/>
              </w:rPr>
            </w:pPr>
          </w:p>
        </w:tc>
        <w:tc>
          <w:tcPr>
            <w:tcW w:w="1872" w:type="dxa"/>
            <w:tcBorders>
              <w:top w:val="nil"/>
              <w:bottom w:val="single" w:sz="4" w:space="0" w:color="ECECEC"/>
            </w:tcBorders>
            <w:shd w:val="clear" w:color="auto" w:fill="ECECEC"/>
          </w:tcPr>
          <w:p w14:paraId="623E1896" w14:textId="1A9CDD58" w:rsidR="00CB6844" w:rsidRPr="007F0605" w:rsidRDefault="005153C2"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Below detection limits</w:t>
            </w:r>
          </w:p>
        </w:tc>
        <w:tc>
          <w:tcPr>
            <w:tcW w:w="1671" w:type="dxa"/>
            <w:tcBorders>
              <w:top w:val="nil"/>
              <w:bottom w:val="single" w:sz="4" w:space="0" w:color="ECECEC"/>
            </w:tcBorders>
            <w:shd w:val="clear" w:color="auto" w:fill="ECECEC"/>
          </w:tcPr>
          <w:p w14:paraId="03421A32"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0605">
              <w:rPr>
                <w:sz w:val="20"/>
                <w:szCs w:val="20"/>
              </w:rPr>
              <w:t>No toxicologically significant levels</w:t>
            </w:r>
          </w:p>
        </w:tc>
        <w:tc>
          <w:tcPr>
            <w:tcW w:w="1594" w:type="dxa"/>
            <w:tcBorders>
              <w:top w:val="nil"/>
              <w:bottom w:val="single" w:sz="4" w:space="0" w:color="ECECEC"/>
            </w:tcBorders>
            <w:shd w:val="clear" w:color="auto" w:fill="ECECEC"/>
          </w:tcPr>
          <w:p w14:paraId="19F3B2A1"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top w:val="nil"/>
              <w:bottom w:val="single" w:sz="4" w:space="0" w:color="ECECEC"/>
            </w:tcBorders>
            <w:shd w:val="clear" w:color="auto" w:fill="ECECEC"/>
          </w:tcPr>
          <w:p w14:paraId="35188263" w14:textId="77777777" w:rsidR="00CB6844" w:rsidRPr="007F0605" w:rsidRDefault="00CB6844" w:rsidP="005F43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9AD21D2" w14:textId="77777777" w:rsidR="00CB6844" w:rsidRPr="00CB6844" w:rsidRDefault="00CB6844" w:rsidP="00CB6844">
      <w:pPr>
        <w:rPr>
          <w:color w:val="BFBFBF" w:themeColor="background1" w:themeShade="BF"/>
        </w:rPr>
      </w:pPr>
      <w:bookmarkStart w:id="74" w:name="_Toc472327053"/>
      <w:bookmarkStart w:id="75" w:name="_Toc501699827"/>
      <w:bookmarkStart w:id="76" w:name="_Toc536543994"/>
      <w:bookmarkStart w:id="77" w:name="_Toc536607129"/>
    </w:p>
    <w:p w14:paraId="31F7575F" w14:textId="77777777" w:rsidR="00CB6844" w:rsidRPr="00146D91" w:rsidRDefault="00CB6844" w:rsidP="00CB6844">
      <w:pPr>
        <w:pStyle w:val="Heading2"/>
      </w:pPr>
      <w:bookmarkStart w:id="78" w:name="_Toc30154602"/>
      <w:bookmarkStart w:id="79" w:name="_Toc85204765"/>
      <w:bookmarkStart w:id="80" w:name="_Toc85211327"/>
      <w:bookmarkStart w:id="81" w:name="_Toc87259302"/>
      <w:r w:rsidRPr="00146D91">
        <w:t>2.3</w:t>
      </w:r>
      <w:r w:rsidRPr="00146D91">
        <w:tab/>
        <w:t>Food technology conclusion</w:t>
      </w:r>
      <w:bookmarkEnd w:id="74"/>
      <w:bookmarkEnd w:id="75"/>
      <w:bookmarkEnd w:id="76"/>
      <w:bookmarkEnd w:id="77"/>
      <w:bookmarkEnd w:id="78"/>
      <w:bookmarkEnd w:id="79"/>
      <w:bookmarkEnd w:id="80"/>
      <w:bookmarkEnd w:id="81"/>
    </w:p>
    <w:p w14:paraId="78DFA86E" w14:textId="4CF5B869" w:rsidR="00E9177B" w:rsidRDefault="00CB6844" w:rsidP="00CB6844">
      <w:r w:rsidRPr="00146D91">
        <w:t xml:space="preserve">FSANZ concludes that the use of this </w:t>
      </w:r>
      <w:r w:rsidR="00146D91">
        <w:t xml:space="preserve">maltogenic </w:t>
      </w:r>
      <w:r w:rsidRPr="00146D91">
        <w:t>alpha</w:t>
      </w:r>
      <w:r w:rsidR="00146D91">
        <w:t xml:space="preserve"> </w:t>
      </w:r>
      <w:r w:rsidRPr="00146D91">
        <w:t>amylase</w:t>
      </w:r>
      <w:r w:rsidRPr="00146D91">
        <w:rPr>
          <w:szCs w:val="20"/>
        </w:rPr>
        <w:t xml:space="preserve"> </w:t>
      </w:r>
      <w:r w:rsidRPr="00146D91">
        <w:t xml:space="preserve">in </w:t>
      </w:r>
      <w:r w:rsidR="00146D91">
        <w:t xml:space="preserve">baking, brewing and </w:t>
      </w:r>
      <w:r w:rsidRPr="00146D91">
        <w:t xml:space="preserve">starch processing is clearly described in the application and is consistent with its </w:t>
      </w:r>
      <w:r w:rsidR="00146D91">
        <w:t>known technological function</w:t>
      </w:r>
      <w:r w:rsidR="00454ECE">
        <w:t>s</w:t>
      </w:r>
      <w:r w:rsidR="00146D91">
        <w:t xml:space="preserve"> in</w:t>
      </w:r>
      <w:r w:rsidRPr="00146D91">
        <w:t xml:space="preserve"> starch hydrolysis. </w:t>
      </w:r>
      <w:r w:rsidR="00DE0A3F" w:rsidRPr="00DE0A3F">
        <w:t>Analysis of the evidence provides adequate assurance that the use of this enzyme, in the quantity and form proposed to be used, which must be consistent with GMP controls and processes, is technologically justified</w:t>
      </w:r>
      <w:r w:rsidRPr="00146D91">
        <w:t xml:space="preserve">. The enzyme meets international purity specifications. </w:t>
      </w:r>
    </w:p>
    <w:p w14:paraId="374D8AC2" w14:textId="77777777" w:rsidR="00CB6844" w:rsidRDefault="00CB6844" w:rsidP="00CB6844">
      <w:pPr>
        <w:pStyle w:val="Heading1"/>
      </w:pPr>
      <w:bookmarkStart w:id="82" w:name="_Toc505255637"/>
      <w:bookmarkStart w:id="83" w:name="_Toc536543995"/>
      <w:bookmarkStart w:id="84" w:name="_Toc536607130"/>
      <w:bookmarkStart w:id="85" w:name="_Toc30154603"/>
      <w:bookmarkStart w:id="86" w:name="_Toc85204766"/>
      <w:bookmarkStart w:id="87" w:name="_Toc85211328"/>
      <w:bookmarkStart w:id="88" w:name="_Toc87259303"/>
      <w:r w:rsidRPr="001E6A7B">
        <w:t xml:space="preserve">3 </w:t>
      </w:r>
      <w:r>
        <w:tab/>
      </w:r>
      <w:r w:rsidRPr="001E6A7B">
        <w:t>Safety assessment</w:t>
      </w:r>
      <w:bookmarkStart w:id="89" w:name="_Toc471740081"/>
      <w:bookmarkStart w:id="90" w:name="_Toc499282437"/>
      <w:bookmarkEnd w:id="82"/>
      <w:bookmarkEnd w:id="83"/>
      <w:bookmarkEnd w:id="84"/>
      <w:bookmarkEnd w:id="85"/>
      <w:bookmarkEnd w:id="86"/>
      <w:bookmarkEnd w:id="87"/>
      <w:bookmarkEnd w:id="88"/>
    </w:p>
    <w:p w14:paraId="34D105A0" w14:textId="50310133" w:rsidR="00CB6844" w:rsidRDefault="00CB6844" w:rsidP="00CB6844">
      <w:pPr>
        <w:pStyle w:val="Heading2"/>
      </w:pPr>
      <w:bookmarkStart w:id="91" w:name="_Toc471740085"/>
      <w:bookmarkStart w:id="92" w:name="_Toc499282440"/>
      <w:bookmarkStart w:id="93" w:name="_Toc505255639"/>
      <w:bookmarkStart w:id="94" w:name="_Toc536543996"/>
      <w:bookmarkStart w:id="95" w:name="_Toc536607131"/>
      <w:bookmarkStart w:id="96" w:name="_Toc30154604"/>
      <w:bookmarkStart w:id="97" w:name="_Toc85204767"/>
      <w:bookmarkStart w:id="98" w:name="_Toc85211329"/>
      <w:bookmarkStart w:id="99" w:name="_Toc87259304"/>
      <w:bookmarkEnd w:id="89"/>
      <w:bookmarkEnd w:id="90"/>
      <w:r w:rsidRPr="006C2969">
        <w:t>3.</w:t>
      </w:r>
      <w:bookmarkEnd w:id="91"/>
      <w:r>
        <w:t>1</w:t>
      </w:r>
      <w:r>
        <w:tab/>
      </w:r>
      <w:r w:rsidRPr="006C2969">
        <w:t>History of use</w:t>
      </w:r>
      <w:bookmarkEnd w:id="92"/>
      <w:bookmarkEnd w:id="93"/>
      <w:bookmarkEnd w:id="94"/>
      <w:bookmarkEnd w:id="95"/>
      <w:bookmarkEnd w:id="96"/>
      <w:bookmarkEnd w:id="97"/>
      <w:bookmarkEnd w:id="98"/>
      <w:bookmarkEnd w:id="99"/>
    </w:p>
    <w:p w14:paraId="0307EA82" w14:textId="2E4F68B0" w:rsidR="00D1220F" w:rsidRPr="00AF6A56" w:rsidRDefault="00D1220F" w:rsidP="00A87D2C">
      <w:r w:rsidRPr="008C4407">
        <w:rPr>
          <w:lang w:bidi="ar-SA"/>
        </w:rPr>
        <w:t>Some information</w:t>
      </w:r>
      <w:r>
        <w:rPr>
          <w:lang w:bidi="ar-SA"/>
        </w:rPr>
        <w:t xml:space="preserve"> relevant to this section</w:t>
      </w:r>
      <w:r w:rsidRPr="008C4407">
        <w:rPr>
          <w:lang w:bidi="ar-SA"/>
        </w:rPr>
        <w:t xml:space="preserve"> is Confidential Commercial Information </w:t>
      </w:r>
      <w:r w:rsidRPr="008C4407">
        <w:rPr>
          <w:lang w:bidi="ar-SA"/>
        </w:rPr>
        <w:lastRenderedPageBreak/>
        <w:t>(CCI)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51D19A19" w14:textId="1696FD65" w:rsidR="00CB6844" w:rsidRDefault="00CB6844" w:rsidP="00477F42">
      <w:pPr>
        <w:pStyle w:val="Heading3"/>
        <w:rPr>
          <w:rFonts w:cs="Arial"/>
        </w:rPr>
      </w:pPr>
      <w:bookmarkStart w:id="100" w:name="_Toc498940968"/>
      <w:bookmarkStart w:id="101" w:name="_Toc499282441"/>
      <w:bookmarkStart w:id="102" w:name="_Toc536543997"/>
      <w:bookmarkStart w:id="103" w:name="_Toc536607132"/>
      <w:bookmarkStart w:id="104" w:name="_Toc30154605"/>
      <w:bookmarkStart w:id="105" w:name="_Toc85204768"/>
      <w:bookmarkStart w:id="106" w:name="_Toc85211330"/>
      <w:bookmarkStart w:id="107" w:name="_Toc87259305"/>
      <w:r>
        <w:t>3.1.1</w:t>
      </w:r>
      <w:r>
        <w:tab/>
        <w:t>Host organism</w:t>
      </w:r>
      <w:bookmarkEnd w:id="100"/>
      <w:bookmarkEnd w:id="101"/>
      <w:bookmarkEnd w:id="102"/>
      <w:bookmarkEnd w:id="103"/>
      <w:bookmarkEnd w:id="104"/>
      <w:bookmarkEnd w:id="105"/>
      <w:bookmarkEnd w:id="106"/>
      <w:bookmarkEnd w:id="107"/>
    </w:p>
    <w:p w14:paraId="120017C6" w14:textId="55860761" w:rsidR="00CA39BB" w:rsidRDefault="00EB68F8" w:rsidP="00EB68F8">
      <w:r w:rsidRPr="00B31AFD">
        <w:rPr>
          <w:i/>
        </w:rPr>
        <w:t>Escherichia coli</w:t>
      </w:r>
      <w:r>
        <w:t xml:space="preserve"> BL21 (DE3) strain was engineered to integrate the</w:t>
      </w:r>
      <w:r w:rsidR="00D30168">
        <w:t xml:space="preserve"> native</w:t>
      </w:r>
      <w:r>
        <w:t xml:space="preserve"> </w:t>
      </w:r>
      <w:r w:rsidRPr="009A544A">
        <w:rPr>
          <w:i/>
        </w:rPr>
        <w:t>ccdB</w:t>
      </w:r>
      <w:r>
        <w:t xml:space="preserve"> gene (from </w:t>
      </w:r>
      <w:r w:rsidRPr="00B31AFD">
        <w:rPr>
          <w:i/>
        </w:rPr>
        <w:t>E. coli</w:t>
      </w:r>
      <w:r>
        <w:t xml:space="preserve"> F plasmid)</w:t>
      </w:r>
      <w:r w:rsidR="00D30168">
        <w:t xml:space="preserve"> into the genome</w:t>
      </w:r>
      <w:r>
        <w:t>, which encodes a cytotoxin specific to bacterial cells. The ccdA/ccdB antitoxin/toxin system ensures stability of plasmid-based expression vectors</w:t>
      </w:r>
      <w:r w:rsidR="000B11DB">
        <w:t xml:space="preserve"> (</w:t>
      </w:r>
      <w:r w:rsidR="000B11DB" w:rsidRPr="00E36BCA">
        <w:t>Szpirer and Milinkovitch, 2005)</w:t>
      </w:r>
      <w:r>
        <w:t>. The recipient strain is identified as SAML27.</w:t>
      </w:r>
      <w:r w:rsidRPr="00CA0BE8">
        <w:t xml:space="preserve"> </w:t>
      </w:r>
    </w:p>
    <w:p w14:paraId="673AFC59" w14:textId="77777777" w:rsidR="00CA39BB" w:rsidRDefault="00CA39BB" w:rsidP="00EB68F8"/>
    <w:p w14:paraId="54BADDEB" w14:textId="3447D416" w:rsidR="00EB68F8" w:rsidRDefault="00EB68F8" w:rsidP="00EB68F8">
      <w:r>
        <w:t xml:space="preserve">The identity of the host organism as </w:t>
      </w:r>
      <w:r w:rsidRPr="00644A7C">
        <w:rPr>
          <w:i/>
        </w:rPr>
        <w:t>E</w:t>
      </w:r>
      <w:r>
        <w:t xml:space="preserve">. </w:t>
      </w:r>
      <w:r w:rsidRPr="00644A7C">
        <w:rPr>
          <w:i/>
        </w:rPr>
        <w:t>coli</w:t>
      </w:r>
      <w:r>
        <w:t xml:space="preserve"> was established by 16S RNA gene sequence analysis of the BLASC strain</w:t>
      </w:r>
      <w:r w:rsidR="00B101D6">
        <w:t xml:space="preserve"> using the </w:t>
      </w:r>
      <w:r>
        <w:t xml:space="preserve">NCBI nucleotide </w:t>
      </w:r>
      <w:r w:rsidRPr="00644A7C">
        <w:t>Basic Local Alignment Search Tool</w:t>
      </w:r>
      <w:r>
        <w:t xml:space="preserve"> (NCBI </w:t>
      </w:r>
      <w:hyperlink r:id="rId20" w:history="1">
        <w:r>
          <w:rPr>
            <w:rStyle w:val="Hyperlink"/>
          </w:rPr>
          <w:t>BLAST</w:t>
        </w:r>
      </w:hyperlink>
      <w:r>
        <w:t>).</w:t>
      </w:r>
      <w:r w:rsidR="007A25D9">
        <w:t xml:space="preserve"> A 100% identity match to </w:t>
      </w:r>
      <w:r w:rsidR="007A25D9" w:rsidRPr="007A25D9">
        <w:rPr>
          <w:i/>
        </w:rPr>
        <w:t>E</w:t>
      </w:r>
      <w:r w:rsidR="007A25D9">
        <w:t xml:space="preserve">. </w:t>
      </w:r>
      <w:r w:rsidR="007A25D9" w:rsidRPr="007A25D9">
        <w:rPr>
          <w:i/>
        </w:rPr>
        <w:t>coli</w:t>
      </w:r>
      <w:r w:rsidR="007A25D9">
        <w:t xml:space="preserve"> BL21 (DE3) strain</w:t>
      </w:r>
      <w:r w:rsidR="00CA39BB">
        <w:t>s</w:t>
      </w:r>
      <w:r w:rsidR="007A25D9">
        <w:t xml:space="preserve"> was </w:t>
      </w:r>
      <w:r w:rsidR="00CA39BB">
        <w:t>confirmed</w:t>
      </w:r>
      <w:r w:rsidR="007A25D9">
        <w:t>. A</w:t>
      </w:r>
      <w:r w:rsidR="00CA39BB">
        <w:t xml:space="preserve">n analysis of a complete genome for an </w:t>
      </w:r>
      <w:r w:rsidR="00CA39BB" w:rsidRPr="007A25D9">
        <w:rPr>
          <w:i/>
        </w:rPr>
        <w:t>E</w:t>
      </w:r>
      <w:r w:rsidR="00CA39BB">
        <w:t xml:space="preserve">. </w:t>
      </w:r>
      <w:r w:rsidR="00CA39BB" w:rsidRPr="007A25D9">
        <w:rPr>
          <w:i/>
        </w:rPr>
        <w:t>coli</w:t>
      </w:r>
      <w:r w:rsidR="00CA39BB">
        <w:t xml:space="preserve"> BL21 (DE3) isolate (BioSample number</w:t>
      </w:r>
      <w:r w:rsidR="00CA39BB" w:rsidRPr="00CA39BB">
        <w:t xml:space="preserve"> SAMN14933839</w:t>
      </w:r>
      <w:r w:rsidR="00CA39BB">
        <w:t xml:space="preserve">) using the NCBI pathogen detection </w:t>
      </w:r>
      <w:r w:rsidR="007642E8">
        <w:t>tool</w:t>
      </w:r>
      <w:r w:rsidR="007642E8" w:rsidRPr="007642E8">
        <w:rPr>
          <w:lang w:eastAsia="en-AU" w:bidi="ar-SA"/>
        </w:rPr>
        <w:t xml:space="preserve"> </w:t>
      </w:r>
      <w:r w:rsidR="007642E8">
        <w:rPr>
          <w:lang w:eastAsia="en-AU" w:bidi="ar-SA"/>
        </w:rPr>
        <w:t xml:space="preserve">for known virulence genes </w:t>
      </w:r>
      <w:r w:rsidR="007642E8">
        <w:t>including the shiga-toxin (</w:t>
      </w:r>
      <w:r w:rsidR="007642E8" w:rsidRPr="003976C9">
        <w:rPr>
          <w:i/>
        </w:rPr>
        <w:t>stx</w:t>
      </w:r>
      <w:r w:rsidR="007642E8" w:rsidRPr="003976C9">
        <w:rPr>
          <w:i/>
          <w:vertAlign w:val="subscript"/>
        </w:rPr>
        <w:t>1</w:t>
      </w:r>
      <w:r w:rsidR="007642E8">
        <w:t xml:space="preserve"> and </w:t>
      </w:r>
      <w:r w:rsidR="007642E8" w:rsidRPr="003976C9">
        <w:rPr>
          <w:i/>
        </w:rPr>
        <w:t>stx</w:t>
      </w:r>
      <w:r w:rsidR="007642E8" w:rsidRPr="003976C9">
        <w:rPr>
          <w:i/>
          <w:vertAlign w:val="subscript"/>
        </w:rPr>
        <w:t>2</w:t>
      </w:r>
      <w:r w:rsidR="007642E8">
        <w:t>) or adherence (</w:t>
      </w:r>
      <w:r w:rsidR="007642E8" w:rsidRPr="003976C9">
        <w:rPr>
          <w:i/>
        </w:rPr>
        <w:t>eae</w:t>
      </w:r>
      <w:r w:rsidR="007642E8">
        <w:t xml:space="preserve"> and </w:t>
      </w:r>
      <w:r w:rsidR="007642E8" w:rsidRPr="003976C9">
        <w:rPr>
          <w:i/>
        </w:rPr>
        <w:t>aggR</w:t>
      </w:r>
      <w:r w:rsidR="007642E8">
        <w:t>) genes</w:t>
      </w:r>
      <w:r w:rsidR="00437615">
        <w:t xml:space="preserve"> was conducted</w:t>
      </w:r>
      <w:r w:rsidR="007642E8">
        <w:t xml:space="preserve">. </w:t>
      </w:r>
      <w:r w:rsidR="007642E8" w:rsidRPr="006805E3">
        <w:rPr>
          <w:lang w:eastAsia="en-AU" w:bidi="ar-SA"/>
        </w:rPr>
        <w:t xml:space="preserve">No matches </w:t>
      </w:r>
      <w:r w:rsidR="007642E8">
        <w:t>were found</w:t>
      </w:r>
      <w:r w:rsidR="00CA39BB">
        <w:t>.</w:t>
      </w:r>
    </w:p>
    <w:p w14:paraId="1FE05172" w14:textId="77777777" w:rsidR="00EB68F8" w:rsidRDefault="00EB68F8" w:rsidP="00EB68F8"/>
    <w:p w14:paraId="4BB52E51" w14:textId="2E3DFF12" w:rsidR="00CB6844" w:rsidRDefault="00EB68F8" w:rsidP="00690206">
      <w:r>
        <w:t xml:space="preserve">The production strain, </w:t>
      </w:r>
      <w:r w:rsidRPr="00E027F8">
        <w:rPr>
          <w:i/>
        </w:rPr>
        <w:t>Escherichia</w:t>
      </w:r>
      <w:r>
        <w:t xml:space="preserve"> </w:t>
      </w:r>
      <w:r w:rsidRPr="00E027F8">
        <w:rPr>
          <w:i/>
        </w:rPr>
        <w:t>coli</w:t>
      </w:r>
      <w:r>
        <w:t xml:space="preserve"> (strain BLASC), was </w:t>
      </w:r>
      <w:r w:rsidR="00146D17">
        <w:t>submitted to a culture collection for safe deposit</w:t>
      </w:r>
      <w:r>
        <w:t>.</w:t>
      </w:r>
    </w:p>
    <w:p w14:paraId="3CBFE357" w14:textId="0D330193" w:rsidR="00CB6844" w:rsidRDefault="00CB6844" w:rsidP="00477F42">
      <w:pPr>
        <w:pStyle w:val="Heading3"/>
      </w:pPr>
      <w:bookmarkStart w:id="108" w:name="_Toc30154606"/>
      <w:bookmarkStart w:id="109" w:name="_Toc85204769"/>
      <w:bookmarkStart w:id="110" w:name="_Toc85211331"/>
      <w:bookmarkStart w:id="111" w:name="_Toc87259306"/>
      <w:r>
        <w:t>3.1.2</w:t>
      </w:r>
      <w:r>
        <w:tab/>
        <w:t>Gene donor organisms</w:t>
      </w:r>
      <w:bookmarkEnd w:id="108"/>
      <w:bookmarkEnd w:id="109"/>
      <w:bookmarkEnd w:id="110"/>
      <w:bookmarkEnd w:id="111"/>
    </w:p>
    <w:p w14:paraId="461EEA21" w14:textId="755D76EC" w:rsidR="00D377DD" w:rsidRDefault="00EB68F8" w:rsidP="00EB68F8">
      <w:r w:rsidRPr="0097446A">
        <w:t xml:space="preserve">The gene donor organism, </w:t>
      </w:r>
      <w:r w:rsidRPr="004D2780">
        <w:rPr>
          <w:i/>
        </w:rPr>
        <w:t>Geobacillus</w:t>
      </w:r>
      <w:r w:rsidRPr="0097446A">
        <w:t xml:space="preserve"> </w:t>
      </w:r>
      <w:r w:rsidRPr="004D2780">
        <w:rPr>
          <w:i/>
        </w:rPr>
        <w:t>stearothermophilus</w:t>
      </w:r>
      <w:r w:rsidRPr="0097446A">
        <w:t xml:space="preserve"> ha</w:t>
      </w:r>
      <w:r w:rsidRPr="004D2780">
        <w:t xml:space="preserve">s a </w:t>
      </w:r>
      <w:r w:rsidR="007A40F9">
        <w:t xml:space="preserve">long </w:t>
      </w:r>
      <w:r w:rsidRPr="004D2780">
        <w:t xml:space="preserve">history of safe use for the </w:t>
      </w:r>
      <w:r w:rsidRPr="0097446A">
        <w:t xml:space="preserve">production of </w:t>
      </w:r>
      <w:r w:rsidR="00437615">
        <w:t>industrial enzymes for food use</w:t>
      </w:r>
      <w:r w:rsidR="00437615" w:rsidRPr="0097446A" w:rsidDel="00437615">
        <w:t xml:space="preserve"> </w:t>
      </w:r>
      <w:r w:rsidRPr="0097446A">
        <w:t>including in Schedule 18 to Standard 1.3.3 of the Code.</w:t>
      </w:r>
      <w:r>
        <w:t xml:space="preserve"> </w:t>
      </w:r>
    </w:p>
    <w:p w14:paraId="7CCA36F0" w14:textId="20B8114A" w:rsidR="00CB6844" w:rsidRDefault="00CB6844" w:rsidP="00CB6844">
      <w:pPr>
        <w:pStyle w:val="Heading2"/>
      </w:pPr>
      <w:bookmarkStart w:id="112" w:name="_Toc499282443"/>
      <w:bookmarkStart w:id="113" w:name="_Toc505255640"/>
      <w:bookmarkStart w:id="114" w:name="_Toc536543999"/>
      <w:bookmarkStart w:id="115" w:name="_Toc536607134"/>
      <w:bookmarkStart w:id="116" w:name="_Toc30154607"/>
      <w:bookmarkStart w:id="117" w:name="_Toc85204770"/>
      <w:bookmarkStart w:id="118" w:name="_Toc85211332"/>
      <w:bookmarkStart w:id="119" w:name="_Toc87259307"/>
      <w:r>
        <w:t>3.2</w:t>
      </w:r>
      <w:r>
        <w:tab/>
        <w:t>Characterisation of the genetic modification(s)</w:t>
      </w:r>
      <w:bookmarkEnd w:id="112"/>
      <w:bookmarkEnd w:id="113"/>
      <w:bookmarkEnd w:id="114"/>
      <w:bookmarkEnd w:id="115"/>
      <w:bookmarkEnd w:id="116"/>
      <w:bookmarkEnd w:id="117"/>
      <w:bookmarkEnd w:id="118"/>
      <w:bookmarkEnd w:id="119"/>
    </w:p>
    <w:p w14:paraId="2CB99B03" w14:textId="6421C80B" w:rsidR="00D1220F" w:rsidRDefault="00D1220F" w:rsidP="00D1220F">
      <w:pPr>
        <w:pStyle w:val="Heading3"/>
      </w:pPr>
      <w:bookmarkStart w:id="120" w:name="_Toc85204771"/>
      <w:bookmarkStart w:id="121" w:name="_Toc85211333"/>
      <w:bookmarkStart w:id="122" w:name="_Toc87259308"/>
      <w:r>
        <w:t>3.2.1</w:t>
      </w:r>
      <w:r>
        <w:tab/>
        <w:t>Description of the DNA to be introduced and method of transformation</w:t>
      </w:r>
      <w:bookmarkEnd w:id="120"/>
      <w:bookmarkEnd w:id="121"/>
      <w:bookmarkEnd w:id="122"/>
    </w:p>
    <w:p w14:paraId="77B1C212" w14:textId="02A8ED26" w:rsidR="00D1220F" w:rsidRDefault="00D1220F" w:rsidP="00D1220F">
      <w:r>
        <w:t xml:space="preserve">The </w:t>
      </w:r>
      <w:r w:rsidRPr="009A544A">
        <w:t>maltog</w:t>
      </w:r>
      <w:r>
        <w:t>enic alpha amylase</w:t>
      </w:r>
      <w:r w:rsidR="0077690A">
        <w:t xml:space="preserve"> enzyme is encoded by the</w:t>
      </w:r>
      <w:r>
        <w:t xml:space="preserve"> </w:t>
      </w:r>
      <w:r w:rsidRPr="009A544A">
        <w:rPr>
          <w:i/>
        </w:rPr>
        <w:t>amyM</w:t>
      </w:r>
      <w:r w:rsidR="0077690A">
        <w:t xml:space="preserve"> gene</w:t>
      </w:r>
      <w:r w:rsidR="009B3AA7">
        <w:t xml:space="preserve"> and</w:t>
      </w:r>
      <w:r>
        <w:t xml:space="preserve"> was </w:t>
      </w:r>
      <w:r w:rsidR="001528D7">
        <w:t xml:space="preserve">chemically </w:t>
      </w:r>
      <w:r>
        <w:t xml:space="preserve">synthesised based on the </w:t>
      </w:r>
      <w:r w:rsidRPr="00B31AFD">
        <w:rPr>
          <w:i/>
        </w:rPr>
        <w:t>Geobacillus stearothermophilus</w:t>
      </w:r>
      <w:r w:rsidR="00D30168" w:rsidRPr="00D30168">
        <w:t xml:space="preserve"> </w:t>
      </w:r>
      <w:r w:rsidR="00D30168">
        <w:t>sequence</w:t>
      </w:r>
      <w:r>
        <w:t>. Chemical synthesis allow</w:t>
      </w:r>
      <w:r w:rsidR="0051363E">
        <w:t>s</w:t>
      </w:r>
      <w:r>
        <w:t xml:space="preserve"> for codon optimisation in </w:t>
      </w:r>
      <w:r w:rsidRPr="00B31AFD">
        <w:rPr>
          <w:i/>
        </w:rPr>
        <w:t>E. coli</w:t>
      </w:r>
      <w:r w:rsidR="00B701C8">
        <w:rPr>
          <w:i/>
        </w:rPr>
        <w:t xml:space="preserve"> </w:t>
      </w:r>
      <w:r w:rsidR="001528D7">
        <w:t>without</w:t>
      </w:r>
      <w:r w:rsidR="00B701C8">
        <w:t xml:space="preserve"> amino acid changes </w:t>
      </w:r>
      <w:r w:rsidR="001528D7">
        <w:t xml:space="preserve">being </w:t>
      </w:r>
      <w:r w:rsidR="00B701C8">
        <w:t>made</w:t>
      </w:r>
      <w:r w:rsidR="00965BDA">
        <w:rPr>
          <w:i/>
        </w:rPr>
        <w:t xml:space="preserve">. </w:t>
      </w:r>
      <w:r w:rsidR="00D377DD">
        <w:t>D</w:t>
      </w:r>
      <w:r w:rsidR="00D377DD" w:rsidRPr="00965BDA">
        <w:t xml:space="preserve">ata provided </w:t>
      </w:r>
      <w:r w:rsidR="00D377DD">
        <w:t xml:space="preserve">by the applicant </w:t>
      </w:r>
      <w:r w:rsidR="004F4B9B">
        <w:t xml:space="preserve">and analysed by FSANZ confirmed the expected </w:t>
      </w:r>
      <w:r w:rsidR="00955F13" w:rsidRPr="009A544A">
        <w:t>maltog</w:t>
      </w:r>
      <w:r w:rsidR="00955F13">
        <w:t>enic alpha amylase sequence</w:t>
      </w:r>
      <w:r w:rsidR="00727B8D">
        <w:t>. T</w:t>
      </w:r>
      <w:r w:rsidR="00FA12BB">
        <w:t xml:space="preserve">he </w:t>
      </w:r>
      <w:r>
        <w:t xml:space="preserve">nucleic acid sequence </w:t>
      </w:r>
      <w:r w:rsidR="0077690A">
        <w:lastRenderedPageBreak/>
        <w:t xml:space="preserve">is </w:t>
      </w:r>
      <w:r w:rsidR="00523A10">
        <w:t>de</w:t>
      </w:r>
      <w:r w:rsidR="0077690A">
        <w:t>void of the signal peptide sequence</w:t>
      </w:r>
      <w:r w:rsidR="009531EA">
        <w:t>.</w:t>
      </w:r>
    </w:p>
    <w:p w14:paraId="0329587B" w14:textId="23E53DAA" w:rsidR="0082133F" w:rsidRDefault="0082133F" w:rsidP="00D1220F"/>
    <w:p w14:paraId="2C7B69B7" w14:textId="7D6D8A47" w:rsidR="0082133F" w:rsidRDefault="0082133F" w:rsidP="0082133F">
      <w:r>
        <w:t xml:space="preserve">The </w:t>
      </w:r>
      <w:r w:rsidRPr="009A544A">
        <w:rPr>
          <w:i/>
        </w:rPr>
        <w:t>amyM</w:t>
      </w:r>
      <w:r>
        <w:t xml:space="preserve"> gene was introduced into the </w:t>
      </w:r>
      <w:r w:rsidRPr="00A05726">
        <w:rPr>
          <w:i/>
        </w:rPr>
        <w:t>E. coli</w:t>
      </w:r>
      <w:r>
        <w:t xml:space="preserve"> host via a plasmid expression vector.</w:t>
      </w:r>
      <w:r w:rsidDel="0077690A">
        <w:t xml:space="preserve"> </w:t>
      </w:r>
      <w:r>
        <w:t>In addition to the</w:t>
      </w:r>
      <w:r w:rsidRPr="0077690A">
        <w:rPr>
          <w:i/>
        </w:rPr>
        <w:t xml:space="preserve"> </w:t>
      </w:r>
      <w:r w:rsidRPr="009A544A">
        <w:rPr>
          <w:i/>
        </w:rPr>
        <w:t>amyM</w:t>
      </w:r>
      <w:r w:rsidDel="0077690A">
        <w:t xml:space="preserve"> </w:t>
      </w:r>
      <w:r>
        <w:t xml:space="preserve">gene, this vector contains the native </w:t>
      </w:r>
      <w:r w:rsidRPr="004707B2">
        <w:rPr>
          <w:i/>
        </w:rPr>
        <w:t>ccdA</w:t>
      </w:r>
      <w:r>
        <w:t xml:space="preserve"> gene from the </w:t>
      </w:r>
      <w:r w:rsidRPr="00B31AFD">
        <w:rPr>
          <w:i/>
        </w:rPr>
        <w:t>E. coli</w:t>
      </w:r>
      <w:r>
        <w:t xml:space="preserve"> F plasmid. The </w:t>
      </w:r>
      <w:r w:rsidRPr="004707B2">
        <w:rPr>
          <w:i/>
        </w:rPr>
        <w:t>ccdA</w:t>
      </w:r>
      <w:r>
        <w:t xml:space="preserve"> gene is the antitoxin component of the a bacterial ccdA/ccdB toxin-antitoxin system (Jaffe et al. 1985).</w:t>
      </w:r>
      <w:r w:rsidRPr="00D30168">
        <w:t xml:space="preserve"> </w:t>
      </w:r>
      <w:r>
        <w:t xml:space="preserve">Its presence on the plasmid is intended to stabilise the plasmid-based expression system in the </w:t>
      </w:r>
      <w:r w:rsidRPr="00094503">
        <w:rPr>
          <w:i/>
        </w:rPr>
        <w:t>E. coli</w:t>
      </w:r>
      <w:r>
        <w:t xml:space="preserve"> BLASC production strain without the need to use antibiotics</w:t>
      </w:r>
      <w:r w:rsidRPr="00D30168">
        <w:t xml:space="preserve"> </w:t>
      </w:r>
      <w:r>
        <w:t>(</w:t>
      </w:r>
      <w:r w:rsidRPr="00E36BCA">
        <w:t>Szpirer and Milinkovitch, 2005)</w:t>
      </w:r>
      <w:r>
        <w:t>.</w:t>
      </w:r>
    </w:p>
    <w:p w14:paraId="31243FAB" w14:textId="15C97FE8" w:rsidR="00DF2765" w:rsidRDefault="00D1220F" w:rsidP="00094503">
      <w:pPr>
        <w:pStyle w:val="Heading3"/>
      </w:pPr>
      <w:bookmarkStart w:id="123" w:name="_Toc85204772"/>
      <w:bookmarkStart w:id="124" w:name="_Toc85211334"/>
      <w:bookmarkStart w:id="125" w:name="_Toc87259309"/>
      <w:r>
        <w:t>3.2.2</w:t>
      </w:r>
      <w:r>
        <w:tab/>
        <w:t>Characterisation of inserted DNA</w:t>
      </w:r>
      <w:bookmarkEnd w:id="123"/>
      <w:bookmarkEnd w:id="124"/>
      <w:bookmarkEnd w:id="125"/>
    </w:p>
    <w:p w14:paraId="28925F07" w14:textId="6341EFDC" w:rsidR="00E21EB6" w:rsidRDefault="00E21EB6" w:rsidP="00E21EB6">
      <w:r>
        <w:t>Data was provided showing the activity of maltogenic alpha amylase after three distinct fermen</w:t>
      </w:r>
      <w:r w:rsidR="00E36BCA">
        <w:t xml:space="preserve">tation runs. </w:t>
      </w:r>
      <w:r w:rsidR="009A06DE">
        <w:t xml:space="preserve">These </w:t>
      </w:r>
      <w:r w:rsidR="00E36BCA">
        <w:t>data confirm</w:t>
      </w:r>
      <w:r>
        <w:t xml:space="preserve"> the presence and functionality of the plasmid expression system in the</w:t>
      </w:r>
      <w:r w:rsidRPr="00E21EB6">
        <w:rPr>
          <w:i/>
        </w:rPr>
        <w:t xml:space="preserve"> </w:t>
      </w:r>
      <w:r w:rsidRPr="00094503">
        <w:rPr>
          <w:i/>
        </w:rPr>
        <w:t>E. coli</w:t>
      </w:r>
      <w:r>
        <w:t xml:space="preserve"> BLASC production strain. </w:t>
      </w:r>
    </w:p>
    <w:p w14:paraId="48E93BE3" w14:textId="77777777" w:rsidR="00E21EB6" w:rsidRDefault="00E21EB6" w:rsidP="00690206"/>
    <w:p w14:paraId="290E4A94" w14:textId="4A5AAA5C" w:rsidR="00690DD4" w:rsidRDefault="00E21EB6" w:rsidP="00690206">
      <w:r>
        <w:t>Further evidence that the production</w:t>
      </w:r>
      <w:r w:rsidR="00094503">
        <w:t xml:space="preserve"> </w:t>
      </w:r>
      <w:r w:rsidR="000B11DB">
        <w:t xml:space="preserve">strain </w:t>
      </w:r>
      <w:r w:rsidR="00094503">
        <w:t xml:space="preserve">contains the </w:t>
      </w:r>
      <w:r w:rsidR="00094503" w:rsidRPr="00094503">
        <w:rPr>
          <w:i/>
        </w:rPr>
        <w:t>amyM</w:t>
      </w:r>
      <w:r w:rsidR="00094503">
        <w:rPr>
          <w:i/>
        </w:rPr>
        <w:t xml:space="preserve"> </w:t>
      </w:r>
      <w:r w:rsidR="00094503">
        <w:t xml:space="preserve">/ </w:t>
      </w:r>
      <w:r w:rsidR="00094503" w:rsidRPr="00094503">
        <w:rPr>
          <w:i/>
        </w:rPr>
        <w:t>ccdA</w:t>
      </w:r>
      <w:r>
        <w:t xml:space="preserve"> expression </w:t>
      </w:r>
      <w:r w:rsidR="00A87D2C">
        <w:t xml:space="preserve">plasmid </w:t>
      </w:r>
      <w:r w:rsidR="000B11DB">
        <w:t>is</w:t>
      </w:r>
      <w:r w:rsidR="00D30168">
        <w:t xml:space="preserve"> by</w:t>
      </w:r>
      <w:r w:rsidR="00094503">
        <w:t xml:space="preserve"> virtue of its ability to produce the maltogenic alpha amylase enzyme and </w:t>
      </w:r>
      <w:r>
        <w:t>remain</w:t>
      </w:r>
      <w:r w:rsidR="00736A74">
        <w:t xml:space="preserve"> viable</w:t>
      </w:r>
      <w:r w:rsidR="00094503">
        <w:t xml:space="preserve">. </w:t>
      </w:r>
      <w:r w:rsidR="00F4115D">
        <w:t>T</w:t>
      </w:r>
      <w:r w:rsidR="00CC40E1">
        <w:t xml:space="preserve">he production strain requires the </w:t>
      </w:r>
      <w:r w:rsidR="00CC40E1" w:rsidRPr="00094503">
        <w:rPr>
          <w:i/>
        </w:rPr>
        <w:t>ccdA</w:t>
      </w:r>
      <w:r w:rsidR="00CC40E1">
        <w:t xml:space="preserve"> gene on the plasmid in order to survive. If the plasmid </w:t>
      </w:r>
      <w:r w:rsidR="00736A74">
        <w:t>was not present</w:t>
      </w:r>
      <w:r w:rsidR="00CC40E1">
        <w:t xml:space="preserve">, </w:t>
      </w:r>
      <w:r w:rsidR="009B3AA7">
        <w:t xml:space="preserve">the </w:t>
      </w:r>
      <w:r w:rsidR="00736E6B">
        <w:t xml:space="preserve">ccdB </w:t>
      </w:r>
      <w:r w:rsidR="009B3AA7">
        <w:t xml:space="preserve">bacteria-specific cytotoxin </w:t>
      </w:r>
      <w:r w:rsidR="00835977">
        <w:t>would not be repressed</w:t>
      </w:r>
      <w:r w:rsidR="009B3AA7">
        <w:t xml:space="preserve">, </w:t>
      </w:r>
      <w:r w:rsidR="00CC40E1">
        <w:t xml:space="preserve">the </w:t>
      </w:r>
      <w:r w:rsidR="009B3AA7">
        <w:t>production strain</w:t>
      </w:r>
      <w:r w:rsidR="00CC40E1">
        <w:t xml:space="preserve"> will not</w:t>
      </w:r>
      <w:r w:rsidR="00D30168">
        <w:t xml:space="preserve"> survive and maltogenic alpha amylase would not be produced.</w:t>
      </w:r>
    </w:p>
    <w:p w14:paraId="1C3F21B4" w14:textId="77777777" w:rsidR="00690DD4" w:rsidRDefault="00690DD4" w:rsidP="00690206"/>
    <w:p w14:paraId="67B2681F" w14:textId="570C38AB" w:rsidR="00690DD4" w:rsidRDefault="00736E6B" w:rsidP="00690206">
      <w:r>
        <w:t>No</w:t>
      </w:r>
      <w:r w:rsidR="00AF6A56">
        <w:t xml:space="preserve"> antibiotic resistance genes</w:t>
      </w:r>
      <w:r w:rsidR="00F4115D">
        <w:t xml:space="preserve"> </w:t>
      </w:r>
      <w:r>
        <w:t xml:space="preserve">were </w:t>
      </w:r>
      <w:r w:rsidR="00835977">
        <w:t>used during the genetic modification</w:t>
      </w:r>
      <w:r w:rsidR="00094503">
        <w:t xml:space="preserve"> and hence</w:t>
      </w:r>
      <w:r w:rsidR="00736A74">
        <w:t>, they</w:t>
      </w:r>
      <w:r w:rsidR="00094503">
        <w:t xml:space="preserve"> </w:t>
      </w:r>
      <w:r w:rsidR="00AF6A56">
        <w:t>are</w:t>
      </w:r>
      <w:r w:rsidR="00094503">
        <w:t xml:space="preserve"> not</w:t>
      </w:r>
      <w:r w:rsidR="00AF6A56">
        <w:t xml:space="preserve"> found in the </w:t>
      </w:r>
      <w:r w:rsidR="00AF6A56" w:rsidRPr="00D728C5">
        <w:rPr>
          <w:i/>
          <w:lang w:eastAsia="en-AU" w:bidi="ar-SA"/>
        </w:rPr>
        <w:t xml:space="preserve">E. coli </w:t>
      </w:r>
      <w:r w:rsidR="00AF6A56" w:rsidRPr="00D728C5">
        <w:rPr>
          <w:lang w:eastAsia="en-AU" w:bidi="ar-SA"/>
        </w:rPr>
        <w:t>BLASC</w:t>
      </w:r>
      <w:r w:rsidR="00AF6A56">
        <w:rPr>
          <w:lang w:eastAsia="en-AU" w:bidi="ar-SA"/>
        </w:rPr>
        <w:t xml:space="preserve"> production stain.</w:t>
      </w:r>
    </w:p>
    <w:p w14:paraId="226153A9" w14:textId="732E443D" w:rsidR="00D1220F" w:rsidRDefault="00D1220F" w:rsidP="00D1220F">
      <w:pPr>
        <w:pStyle w:val="Heading3"/>
      </w:pPr>
      <w:bookmarkStart w:id="126" w:name="_Toc85204773"/>
      <w:bookmarkStart w:id="127" w:name="_Toc85211335"/>
      <w:bookmarkStart w:id="128" w:name="_Toc87259310"/>
      <w:r>
        <w:t>3.2.</w:t>
      </w:r>
      <w:r w:rsidR="0098490F">
        <w:t>3</w:t>
      </w:r>
      <w:r>
        <w:tab/>
        <w:t>Genetic stability of the inserted gene</w:t>
      </w:r>
      <w:bookmarkEnd w:id="126"/>
      <w:bookmarkEnd w:id="127"/>
      <w:bookmarkEnd w:id="128"/>
    </w:p>
    <w:p w14:paraId="574BE4A2" w14:textId="393BFB56" w:rsidR="00D30168" w:rsidRDefault="00E36BCA" w:rsidP="00690206">
      <w:r>
        <w:t>Based on the</w:t>
      </w:r>
      <w:r w:rsidR="000B11DB">
        <w:t xml:space="preserve"> use of the</w:t>
      </w:r>
      <w:r>
        <w:t xml:space="preserve"> ccdA/ccdB antitoxin/toxin system</w:t>
      </w:r>
      <w:r w:rsidR="000B11DB">
        <w:t xml:space="preserve"> and the activity of the maltogenic alpha amylase after three distinct fermentation runs, the </w:t>
      </w:r>
      <w:r w:rsidR="00C93FB4" w:rsidRPr="00094503">
        <w:rPr>
          <w:i/>
        </w:rPr>
        <w:t>amyM</w:t>
      </w:r>
      <w:r w:rsidR="00C93FB4">
        <w:rPr>
          <w:i/>
        </w:rPr>
        <w:t xml:space="preserve"> </w:t>
      </w:r>
      <w:r w:rsidR="00C93FB4">
        <w:t xml:space="preserve">/ </w:t>
      </w:r>
      <w:r w:rsidR="00C93FB4" w:rsidRPr="00094503">
        <w:rPr>
          <w:i/>
        </w:rPr>
        <w:t>ccdA</w:t>
      </w:r>
      <w:r w:rsidR="00C93FB4">
        <w:t xml:space="preserve"> </w:t>
      </w:r>
      <w:r w:rsidR="00A87D2C">
        <w:t xml:space="preserve">expression </w:t>
      </w:r>
      <w:r w:rsidR="00C93FB4">
        <w:t xml:space="preserve">plasmid </w:t>
      </w:r>
      <w:r w:rsidR="000B11DB">
        <w:t>is considered to be stable.</w:t>
      </w:r>
      <w:r w:rsidR="00D30168">
        <w:t xml:space="preserve"> </w:t>
      </w:r>
    </w:p>
    <w:p w14:paraId="65B5989D" w14:textId="77777777" w:rsidR="00D30168" w:rsidRDefault="00D30168" w:rsidP="00690206"/>
    <w:p w14:paraId="288C622A" w14:textId="52C50100" w:rsidR="00E36BCA" w:rsidRDefault="00D30168" w:rsidP="00690206">
      <w:r>
        <w:t xml:space="preserve">The applicant also provided Random Amplified Polymorphic DNA data </w:t>
      </w:r>
      <w:r w:rsidR="00C93FB4">
        <w:t xml:space="preserve">that </w:t>
      </w:r>
      <w:r>
        <w:t>compar</w:t>
      </w:r>
      <w:r w:rsidR="00C93FB4">
        <w:t>ed</w:t>
      </w:r>
      <w:r>
        <w:t xml:space="preserve"> the fingerprint profile of the production strain before and after fermentation. This data </w:t>
      </w:r>
      <w:r w:rsidR="00F4115D">
        <w:t>substantiates</w:t>
      </w:r>
      <w:r>
        <w:t xml:space="preserve"> the stability of the production strain during fermentation and provides further evidence of the survival of </w:t>
      </w:r>
      <w:r w:rsidR="00736E6B">
        <w:t xml:space="preserve">the </w:t>
      </w:r>
      <w:r>
        <w:t>production strain</w:t>
      </w:r>
      <w:r w:rsidR="00A87D2C">
        <w:t xml:space="preserve">. </w:t>
      </w:r>
      <w:r w:rsidR="00F4115D">
        <w:t xml:space="preserve">It can be inferred </w:t>
      </w:r>
      <w:r w:rsidR="00F4115D">
        <w:lastRenderedPageBreak/>
        <w:t>that the</w:t>
      </w:r>
      <w:r>
        <w:t xml:space="preserve"> </w:t>
      </w:r>
      <w:r w:rsidRPr="00A87D2C">
        <w:rPr>
          <w:i/>
        </w:rPr>
        <w:t>ccdA</w:t>
      </w:r>
      <w:r>
        <w:t>/</w:t>
      </w:r>
      <w:r w:rsidRPr="00A87D2C">
        <w:rPr>
          <w:i/>
        </w:rPr>
        <w:t>ccdB</w:t>
      </w:r>
      <w:r>
        <w:t xml:space="preserve"> antitoxin/toxin system is functional and the</w:t>
      </w:r>
      <w:r w:rsidR="009B3AA7" w:rsidRPr="009B3AA7">
        <w:rPr>
          <w:i/>
        </w:rPr>
        <w:t xml:space="preserve"> </w:t>
      </w:r>
      <w:r w:rsidR="009B3AA7" w:rsidRPr="00094503">
        <w:rPr>
          <w:i/>
        </w:rPr>
        <w:t>amyM</w:t>
      </w:r>
      <w:r w:rsidR="009B3AA7">
        <w:rPr>
          <w:i/>
        </w:rPr>
        <w:t xml:space="preserve"> </w:t>
      </w:r>
      <w:r w:rsidR="009B3AA7">
        <w:t xml:space="preserve">/ </w:t>
      </w:r>
      <w:r w:rsidR="009B3AA7" w:rsidRPr="00094503">
        <w:rPr>
          <w:i/>
        </w:rPr>
        <w:t>ccdA</w:t>
      </w:r>
      <w:r>
        <w:t xml:space="preserve"> expression plasmid is stable.</w:t>
      </w:r>
    </w:p>
    <w:p w14:paraId="5028330B" w14:textId="3DA09376" w:rsidR="00CB6844" w:rsidRDefault="00CB6844" w:rsidP="00CB6844">
      <w:pPr>
        <w:pStyle w:val="Heading2"/>
      </w:pPr>
      <w:bookmarkStart w:id="129" w:name="_Toc30154611"/>
      <w:bookmarkStart w:id="130" w:name="_Toc85204774"/>
      <w:bookmarkStart w:id="131" w:name="_Toc85211336"/>
      <w:bookmarkStart w:id="132" w:name="_Toc87259311"/>
      <w:r w:rsidRPr="00DD6B6A">
        <w:t>3.</w:t>
      </w:r>
      <w:r>
        <w:t>3</w:t>
      </w:r>
      <w:r>
        <w:tab/>
        <w:t xml:space="preserve">Safety of </w:t>
      </w:r>
      <w:r w:rsidR="005F4318">
        <w:t xml:space="preserve">maltogenic </w:t>
      </w:r>
      <w:r>
        <w:t>alpha</w:t>
      </w:r>
      <w:r w:rsidR="005F4318">
        <w:t xml:space="preserve"> </w:t>
      </w:r>
      <w:r>
        <w:t>amylase</w:t>
      </w:r>
      <w:bookmarkEnd w:id="129"/>
      <w:bookmarkEnd w:id="130"/>
      <w:bookmarkEnd w:id="131"/>
      <w:bookmarkEnd w:id="132"/>
    </w:p>
    <w:p w14:paraId="313B1ED0" w14:textId="77777777" w:rsidR="00CB6844" w:rsidRDefault="00CB6844" w:rsidP="00477F42">
      <w:pPr>
        <w:pStyle w:val="Heading3"/>
      </w:pPr>
      <w:bookmarkStart w:id="133" w:name="_Toc536544004"/>
      <w:bookmarkStart w:id="134" w:name="_Toc536607139"/>
      <w:bookmarkStart w:id="135" w:name="_Toc30154612"/>
      <w:bookmarkStart w:id="136" w:name="_Toc85204775"/>
      <w:bookmarkStart w:id="137" w:name="_Toc85211337"/>
      <w:bookmarkStart w:id="138" w:name="_Toc87259312"/>
      <w:r w:rsidRPr="00C15A6C">
        <w:t>3.</w:t>
      </w:r>
      <w:r>
        <w:t>3</w:t>
      </w:r>
      <w:r w:rsidRPr="00C15A6C">
        <w:t>.1</w:t>
      </w:r>
      <w:r>
        <w:tab/>
      </w:r>
      <w:r w:rsidRPr="005F4318">
        <w:t>History of safe use</w:t>
      </w:r>
      <w:bookmarkEnd w:id="133"/>
      <w:bookmarkEnd w:id="134"/>
      <w:bookmarkEnd w:id="135"/>
      <w:bookmarkEnd w:id="136"/>
      <w:bookmarkEnd w:id="137"/>
      <w:bookmarkEnd w:id="138"/>
    </w:p>
    <w:p w14:paraId="342A25EA" w14:textId="4EA73D5D" w:rsidR="00F43EB2" w:rsidRPr="00F43EB2" w:rsidRDefault="00F43EB2" w:rsidP="00F43EB2">
      <w:pPr>
        <w:rPr>
          <w:i/>
          <w:color w:val="000000" w:themeColor="text1"/>
          <w:lang w:eastAsia="en-AU" w:bidi="ar-SA"/>
        </w:rPr>
      </w:pPr>
      <w:r w:rsidRPr="00F43EB2">
        <w:rPr>
          <w:color w:val="000000" w:themeColor="text1"/>
          <w:lang w:eastAsia="en-AU" w:bidi="ar-SA"/>
        </w:rPr>
        <w:t xml:space="preserve">Maltogenic </w:t>
      </w:r>
      <w:r w:rsidRPr="00F43EB2">
        <w:rPr>
          <w:rFonts w:cs="Arial"/>
          <w:color w:val="000000" w:themeColor="text1"/>
          <w:lang w:eastAsia="en-AU" w:bidi="ar-SA"/>
        </w:rPr>
        <w:t>alpha</w:t>
      </w:r>
      <w:r w:rsidR="003375D8">
        <w:rPr>
          <w:rFonts w:cs="Arial"/>
          <w:color w:val="000000" w:themeColor="text1"/>
          <w:lang w:eastAsia="en-AU" w:bidi="ar-SA"/>
        </w:rPr>
        <w:t xml:space="preserve"> </w:t>
      </w:r>
      <w:r w:rsidRPr="00F43EB2">
        <w:rPr>
          <w:rFonts w:cs="Arial"/>
          <w:color w:val="000000" w:themeColor="text1"/>
          <w:lang w:eastAsia="en-AU" w:bidi="ar-SA"/>
        </w:rPr>
        <w:t>amylase</w:t>
      </w:r>
      <w:r w:rsidRPr="00F43EB2">
        <w:rPr>
          <w:color w:val="000000" w:themeColor="text1"/>
          <w:lang w:eastAsia="en-AU" w:bidi="ar-SA"/>
        </w:rPr>
        <w:t xml:space="preserve"> isolated directly from </w:t>
      </w:r>
      <w:r w:rsidRPr="00F43EB2">
        <w:rPr>
          <w:i/>
          <w:color w:val="000000" w:themeColor="text1"/>
          <w:lang w:eastAsia="en-AU" w:bidi="ar-SA"/>
        </w:rPr>
        <w:t>G. stearothermophilus</w:t>
      </w:r>
      <w:r w:rsidRPr="00F43EB2">
        <w:rPr>
          <w:color w:val="000000" w:themeColor="text1"/>
          <w:lang w:eastAsia="en-AU" w:bidi="ar-SA"/>
        </w:rPr>
        <w:t xml:space="preserve"> has been used since the mid-1990s in baking (Derde et al., 2012; Goesaert et al., 2009). Further, </w:t>
      </w:r>
      <w:r w:rsidRPr="00F43EB2">
        <w:rPr>
          <w:i/>
          <w:color w:val="000000" w:themeColor="text1"/>
          <w:lang w:eastAsia="en-AU" w:bidi="ar-SA"/>
        </w:rPr>
        <w:t xml:space="preserve">G. stearothermophilus </w:t>
      </w:r>
      <w:r w:rsidRPr="00F43EB2">
        <w:rPr>
          <w:color w:val="000000" w:themeColor="text1"/>
          <w:lang w:eastAsia="en-AU" w:bidi="ar-SA"/>
        </w:rPr>
        <w:t xml:space="preserve">maltogenic </w:t>
      </w:r>
      <w:r w:rsidRPr="00F43EB2">
        <w:rPr>
          <w:rFonts w:cs="Arial"/>
          <w:color w:val="000000" w:themeColor="text1"/>
          <w:lang w:eastAsia="en-AU" w:bidi="ar-SA"/>
        </w:rPr>
        <w:t>alpha</w:t>
      </w:r>
      <w:r w:rsidR="00DF13FC">
        <w:rPr>
          <w:rFonts w:cs="Arial"/>
          <w:color w:val="000000" w:themeColor="text1"/>
          <w:lang w:eastAsia="en-AU" w:bidi="ar-SA"/>
        </w:rPr>
        <w:t xml:space="preserve"> </w:t>
      </w:r>
      <w:r w:rsidRPr="00F43EB2">
        <w:rPr>
          <w:rFonts w:cs="Arial"/>
          <w:color w:val="000000" w:themeColor="text1"/>
          <w:lang w:eastAsia="en-AU" w:bidi="ar-SA"/>
        </w:rPr>
        <w:t>amylase</w:t>
      </w:r>
      <w:r w:rsidRPr="00F43EB2">
        <w:rPr>
          <w:color w:val="000000" w:themeColor="text1"/>
          <w:lang w:eastAsia="en-AU" w:bidi="ar-SA"/>
        </w:rPr>
        <w:t xml:space="preserve"> has been assessed for use in Australia and New Zealand when manufactured using genetically modified </w:t>
      </w:r>
      <w:r w:rsidRPr="00F43EB2">
        <w:rPr>
          <w:i/>
          <w:color w:val="000000" w:themeColor="text1"/>
          <w:lang w:eastAsia="en-AU" w:bidi="ar-SA"/>
        </w:rPr>
        <w:t>B. subtilis</w:t>
      </w:r>
      <w:r w:rsidRPr="00F43EB2">
        <w:rPr>
          <w:color w:val="000000" w:themeColor="text1"/>
          <w:lang w:eastAsia="en-AU" w:bidi="ar-SA"/>
        </w:rPr>
        <w:t xml:space="preserve">, genetically modified </w:t>
      </w:r>
      <w:r w:rsidRPr="00F43EB2">
        <w:rPr>
          <w:i/>
          <w:color w:val="000000" w:themeColor="text1"/>
          <w:lang w:eastAsia="en-AU" w:bidi="ar-SA"/>
        </w:rPr>
        <w:t>Saccharomyces cerevisiae</w:t>
      </w:r>
      <w:r w:rsidR="00A751E1" w:rsidRPr="00A751E1">
        <w:rPr>
          <w:rStyle w:val="FootnoteReference"/>
          <w:color w:val="000000" w:themeColor="text1"/>
          <w:lang w:eastAsia="en-AU" w:bidi="ar-SA"/>
        </w:rPr>
        <w:footnoteReference w:id="9"/>
      </w:r>
      <w:r w:rsidRPr="00F43EB2">
        <w:rPr>
          <w:color w:val="000000" w:themeColor="text1"/>
          <w:lang w:eastAsia="en-AU" w:bidi="ar-SA"/>
        </w:rPr>
        <w:t xml:space="preserve"> and genetically modified </w:t>
      </w:r>
      <w:r w:rsidRPr="00F43EB2">
        <w:rPr>
          <w:i/>
          <w:color w:val="000000" w:themeColor="text1"/>
          <w:lang w:eastAsia="en-AU" w:bidi="ar-SA"/>
        </w:rPr>
        <w:t>Bacillus licheniformis</w:t>
      </w:r>
      <w:r w:rsidRPr="00A751E1">
        <w:rPr>
          <w:rStyle w:val="FootnoteReference"/>
          <w:color w:val="000000" w:themeColor="text1"/>
          <w:lang w:eastAsia="en-AU" w:bidi="ar-SA"/>
        </w:rPr>
        <w:footnoteReference w:id="10"/>
      </w:r>
      <w:r w:rsidRPr="00F43EB2">
        <w:rPr>
          <w:color w:val="000000" w:themeColor="text1"/>
          <w:lang w:eastAsia="en-AU" w:bidi="ar-SA"/>
        </w:rPr>
        <w:t xml:space="preserve">. The subject </w:t>
      </w:r>
      <w:r w:rsidRPr="00F43EB2">
        <w:rPr>
          <w:i/>
          <w:color w:val="000000" w:themeColor="text1"/>
          <w:lang w:eastAsia="en-AU" w:bidi="ar-SA"/>
        </w:rPr>
        <w:t>G. stearothermophilus</w:t>
      </w:r>
      <w:r w:rsidRPr="00F43EB2">
        <w:rPr>
          <w:color w:val="000000" w:themeColor="text1"/>
          <w:lang w:eastAsia="en-AU" w:bidi="ar-SA"/>
        </w:rPr>
        <w:t xml:space="preserve"> maltogenic alpha</w:t>
      </w:r>
      <w:r w:rsidR="00DF13FC">
        <w:rPr>
          <w:color w:val="000000" w:themeColor="text1"/>
          <w:lang w:eastAsia="en-AU" w:bidi="ar-SA"/>
        </w:rPr>
        <w:t xml:space="preserve"> </w:t>
      </w:r>
      <w:r w:rsidRPr="00F43EB2">
        <w:rPr>
          <w:color w:val="000000" w:themeColor="text1"/>
          <w:lang w:eastAsia="en-AU" w:bidi="ar-SA"/>
        </w:rPr>
        <w:t xml:space="preserve">amylase enzyme of this application is produced in </w:t>
      </w:r>
      <w:r w:rsidRPr="00F43EB2">
        <w:rPr>
          <w:i/>
          <w:color w:val="000000" w:themeColor="text1"/>
          <w:lang w:eastAsia="en-AU" w:bidi="ar-SA"/>
        </w:rPr>
        <w:t>E.</w:t>
      </w:r>
      <w:r w:rsidR="00B951F8">
        <w:rPr>
          <w:i/>
          <w:color w:val="000000" w:themeColor="text1"/>
          <w:lang w:eastAsia="en-AU" w:bidi="ar-SA"/>
        </w:rPr>
        <w:t> </w:t>
      </w:r>
      <w:r w:rsidRPr="00F43EB2">
        <w:rPr>
          <w:i/>
          <w:color w:val="000000" w:themeColor="text1"/>
          <w:lang w:eastAsia="en-AU" w:bidi="ar-SA"/>
        </w:rPr>
        <w:t>coli</w:t>
      </w:r>
      <w:r w:rsidRPr="00F43EB2">
        <w:rPr>
          <w:color w:val="000000" w:themeColor="text1"/>
          <w:lang w:eastAsia="en-AU" w:bidi="ar-SA"/>
        </w:rPr>
        <w:t xml:space="preserve"> and the mature enzyme has</w:t>
      </w:r>
      <w:r w:rsidRPr="00F43EB2">
        <w:rPr>
          <w:color w:val="000000" w:themeColor="text1"/>
        </w:rPr>
        <w:t xml:space="preserve"> an identical sequence to the </w:t>
      </w:r>
      <w:r w:rsidRPr="00F43EB2">
        <w:rPr>
          <w:i/>
          <w:color w:val="000000" w:themeColor="text1"/>
          <w:lang w:eastAsia="en-AU" w:bidi="ar-SA"/>
        </w:rPr>
        <w:t>G. stearothermophilus</w:t>
      </w:r>
      <w:r w:rsidRPr="00F43EB2">
        <w:rPr>
          <w:color w:val="000000" w:themeColor="text1"/>
          <w:lang w:eastAsia="en-AU" w:bidi="ar-SA"/>
        </w:rPr>
        <w:t xml:space="preserve"> maltogenic alpha</w:t>
      </w:r>
      <w:r w:rsidR="00DF13FC">
        <w:rPr>
          <w:color w:val="000000" w:themeColor="text1"/>
          <w:lang w:eastAsia="en-AU" w:bidi="ar-SA"/>
        </w:rPr>
        <w:t xml:space="preserve"> </w:t>
      </w:r>
      <w:r w:rsidRPr="00F43EB2">
        <w:rPr>
          <w:color w:val="000000" w:themeColor="text1"/>
          <w:lang w:eastAsia="en-AU" w:bidi="ar-SA"/>
        </w:rPr>
        <w:t xml:space="preserve">amylases already assessed by FSANZ. </w:t>
      </w:r>
    </w:p>
    <w:p w14:paraId="4FFD6450" w14:textId="77777777" w:rsidR="00F43EB2" w:rsidRPr="00F43EB2" w:rsidRDefault="00F43EB2" w:rsidP="00F43EB2">
      <w:pPr>
        <w:rPr>
          <w:color w:val="000000" w:themeColor="text1"/>
          <w:lang w:eastAsia="en-AU" w:bidi="ar-SA"/>
        </w:rPr>
      </w:pPr>
    </w:p>
    <w:p w14:paraId="46FE36E4" w14:textId="467300CA" w:rsidR="00F43EB2" w:rsidRPr="00F43EB2" w:rsidRDefault="00F43EB2" w:rsidP="00F43EB2">
      <w:pPr>
        <w:rPr>
          <w:color w:val="000000" w:themeColor="text1"/>
        </w:rPr>
      </w:pPr>
      <w:r w:rsidRPr="00F43EB2">
        <w:rPr>
          <w:color w:val="000000" w:themeColor="text1"/>
        </w:rPr>
        <w:t xml:space="preserve">There are no reports of adverse effects arising from the use of </w:t>
      </w:r>
      <w:r w:rsidRPr="00F43EB2">
        <w:rPr>
          <w:i/>
          <w:color w:val="000000" w:themeColor="text1"/>
        </w:rPr>
        <w:t>G. stearothermophilus</w:t>
      </w:r>
      <w:r w:rsidRPr="00F43EB2">
        <w:rPr>
          <w:color w:val="000000" w:themeColor="text1"/>
        </w:rPr>
        <w:t xml:space="preserve"> maltogenic alpha</w:t>
      </w:r>
      <w:r w:rsidR="00DF13FC">
        <w:rPr>
          <w:color w:val="000000" w:themeColor="text1"/>
        </w:rPr>
        <w:t xml:space="preserve"> </w:t>
      </w:r>
      <w:r w:rsidRPr="00F43EB2">
        <w:rPr>
          <w:color w:val="000000" w:themeColor="text1"/>
        </w:rPr>
        <w:t>amylase enzymes in Australia or any other jurisdiction where the enzyme has been approved.</w:t>
      </w:r>
    </w:p>
    <w:p w14:paraId="6756CF0A" w14:textId="7D926236" w:rsidR="00F43EB2" w:rsidRDefault="00F43EB2" w:rsidP="00477F42">
      <w:pPr>
        <w:pStyle w:val="Heading3"/>
      </w:pPr>
      <w:bookmarkStart w:id="139" w:name="_Toc67559444"/>
      <w:bookmarkStart w:id="140" w:name="_Toc85204776"/>
      <w:bookmarkStart w:id="141" w:name="_Toc85211338"/>
      <w:bookmarkStart w:id="142" w:name="_Toc87259313"/>
      <w:bookmarkStart w:id="143" w:name="_Toc67559445"/>
      <w:r w:rsidRPr="00DC06C8">
        <w:t>3.</w:t>
      </w:r>
      <w:r>
        <w:t>3</w:t>
      </w:r>
      <w:r w:rsidRPr="00DC06C8">
        <w:t>.2</w:t>
      </w:r>
      <w:r w:rsidR="005F4318">
        <w:tab/>
      </w:r>
      <w:r w:rsidRPr="00DC06C8">
        <w:t>Bioinformatics concerning potential for toxicity</w:t>
      </w:r>
      <w:bookmarkEnd w:id="139"/>
      <w:bookmarkEnd w:id="140"/>
      <w:bookmarkEnd w:id="141"/>
      <w:bookmarkEnd w:id="142"/>
      <w:r w:rsidRPr="00DC06C8">
        <w:t xml:space="preserve"> </w:t>
      </w:r>
    </w:p>
    <w:p w14:paraId="751F9512" w14:textId="78FA201A" w:rsidR="00040B8D" w:rsidRPr="006805E3" w:rsidRDefault="00040B8D" w:rsidP="00040B8D">
      <w:pPr>
        <w:rPr>
          <w:lang w:eastAsia="en-AU" w:bidi="ar-SA"/>
        </w:rPr>
      </w:pPr>
      <w:r w:rsidRPr="006805E3">
        <w:rPr>
          <w:lang w:eastAsia="en-AU" w:bidi="ar-SA"/>
        </w:rPr>
        <w:t>A search was performed using</w:t>
      </w:r>
      <w:r>
        <w:rPr>
          <w:lang w:eastAsia="en-AU" w:bidi="ar-SA"/>
        </w:rPr>
        <w:t xml:space="preserve"> the </w:t>
      </w:r>
      <w:r w:rsidR="00754DED">
        <w:rPr>
          <w:lang w:eastAsia="en-AU" w:bidi="ar-SA"/>
        </w:rPr>
        <w:t xml:space="preserve">maltogenic </w:t>
      </w:r>
      <w:r>
        <w:rPr>
          <w:lang w:eastAsia="en-AU" w:bidi="ar-SA"/>
        </w:rPr>
        <w:t>alpha</w:t>
      </w:r>
      <w:r w:rsidR="00DF13FC">
        <w:rPr>
          <w:lang w:eastAsia="en-AU" w:bidi="ar-SA"/>
        </w:rPr>
        <w:t xml:space="preserve"> </w:t>
      </w:r>
      <w:r>
        <w:rPr>
          <w:lang w:eastAsia="en-AU" w:bidi="ar-SA"/>
        </w:rPr>
        <w:t>amylase</w:t>
      </w:r>
      <w:r w:rsidRPr="006805E3">
        <w:rPr>
          <w:lang w:eastAsia="en-AU" w:bidi="ar-SA"/>
        </w:rPr>
        <w:t xml:space="preserve"> protein sequence against the </w:t>
      </w:r>
      <w:hyperlink r:id="rId21" w:history="1">
        <w:r w:rsidRPr="00040B8D">
          <w:rPr>
            <w:rStyle w:val="Hyperlink"/>
            <w:lang w:eastAsia="en-AU" w:bidi="ar-SA"/>
          </w:rPr>
          <w:t>DBETH bacterial exotoxins database</w:t>
        </w:r>
      </w:hyperlink>
      <w:r w:rsidRPr="006805E3">
        <w:rPr>
          <w:rStyle w:val="FootnoteReference"/>
          <w:lang w:eastAsia="en-AU" w:bidi="ar-SA"/>
        </w:rPr>
        <w:footnoteReference w:id="11"/>
      </w:r>
      <w:r w:rsidRPr="006805E3">
        <w:rPr>
          <w:lang w:eastAsia="en-AU" w:bidi="ar-SA"/>
        </w:rPr>
        <w:t>.</w:t>
      </w:r>
      <w:r w:rsidR="00E20D79">
        <w:rPr>
          <w:lang w:eastAsia="en-AU" w:bidi="ar-SA"/>
        </w:rPr>
        <w:t xml:space="preserve">and bacterial toxins in the </w:t>
      </w:r>
      <w:hyperlink r:id="rId22" w:history="1">
        <w:r w:rsidR="00E20D79" w:rsidRPr="00E20D79">
          <w:rPr>
            <w:rStyle w:val="Hyperlink"/>
            <w:lang w:eastAsia="en-AU" w:bidi="ar-SA"/>
          </w:rPr>
          <w:t>UniProt database</w:t>
        </w:r>
      </w:hyperlink>
      <w:r w:rsidR="00E20D79">
        <w:rPr>
          <w:rStyle w:val="FootnoteReference"/>
          <w:lang w:eastAsia="en-AU" w:bidi="ar-SA"/>
        </w:rPr>
        <w:footnoteReference w:id="12"/>
      </w:r>
      <w:r w:rsidR="00B64E2A">
        <w:rPr>
          <w:lang w:eastAsia="en-AU" w:bidi="ar-SA"/>
        </w:rPr>
        <w:t xml:space="preserve"> (using an E-value</w:t>
      </w:r>
      <w:r w:rsidR="00B64E2A">
        <w:rPr>
          <w:rStyle w:val="FootnoteReference"/>
          <w:lang w:eastAsia="en-AU" w:bidi="ar-SA"/>
        </w:rPr>
        <w:footnoteReference w:id="13"/>
      </w:r>
      <w:r w:rsidR="00B64E2A">
        <w:rPr>
          <w:lang w:eastAsia="en-AU" w:bidi="ar-SA"/>
        </w:rPr>
        <w:t xml:space="preserve"> threshold of 10</w:t>
      </w:r>
      <w:r w:rsidR="00B64E2A" w:rsidRPr="00B64E2A">
        <w:rPr>
          <w:vertAlign w:val="superscript"/>
          <w:lang w:eastAsia="en-AU" w:bidi="ar-SA"/>
        </w:rPr>
        <w:t>-4</w:t>
      </w:r>
      <w:r w:rsidR="00B64E2A">
        <w:rPr>
          <w:lang w:eastAsia="en-AU" w:bidi="ar-SA"/>
        </w:rPr>
        <w:t>).</w:t>
      </w:r>
      <w:r w:rsidR="00E20D79">
        <w:rPr>
          <w:lang w:eastAsia="en-AU" w:bidi="ar-SA"/>
        </w:rPr>
        <w:t xml:space="preserve"> </w:t>
      </w:r>
      <w:r w:rsidRPr="006805E3">
        <w:rPr>
          <w:lang w:eastAsia="en-AU" w:bidi="ar-SA"/>
        </w:rPr>
        <w:t xml:space="preserve">No matches to </w:t>
      </w:r>
      <w:r>
        <w:rPr>
          <w:lang w:eastAsia="en-AU" w:bidi="ar-SA"/>
        </w:rPr>
        <w:t>known toxins</w:t>
      </w:r>
      <w:r w:rsidRPr="006805E3">
        <w:rPr>
          <w:lang w:eastAsia="en-AU" w:bidi="ar-SA"/>
        </w:rPr>
        <w:t xml:space="preserve"> were found.</w:t>
      </w:r>
    </w:p>
    <w:p w14:paraId="30B3FE0F" w14:textId="2B402BC1" w:rsidR="00F43EB2" w:rsidRDefault="00F43EB2" w:rsidP="00477F42">
      <w:pPr>
        <w:pStyle w:val="Heading3"/>
      </w:pPr>
      <w:bookmarkStart w:id="144" w:name="_Toc85204777"/>
      <w:bookmarkStart w:id="145" w:name="_Toc85211339"/>
      <w:bookmarkStart w:id="146" w:name="_Toc87259314"/>
      <w:r w:rsidRPr="00DC06C8">
        <w:lastRenderedPageBreak/>
        <w:t>3.</w:t>
      </w:r>
      <w:r>
        <w:t>3</w:t>
      </w:r>
      <w:r w:rsidRPr="00DC06C8">
        <w:t>.3</w:t>
      </w:r>
      <w:r w:rsidRPr="00DC06C8">
        <w:tab/>
      </w:r>
      <w:bookmarkEnd w:id="143"/>
      <w:r w:rsidRPr="00DC2D41">
        <w:t>Evaluation of toxicity studies</w:t>
      </w:r>
      <w:bookmarkEnd w:id="144"/>
      <w:bookmarkEnd w:id="145"/>
      <w:bookmarkEnd w:id="146"/>
    </w:p>
    <w:p w14:paraId="04264E35" w14:textId="7C2AC21B" w:rsidR="00F43EB2" w:rsidRPr="00D728C5" w:rsidRDefault="00F43EB2" w:rsidP="00F43EB2">
      <w:r w:rsidRPr="00D728C5">
        <w:rPr>
          <w:lang w:eastAsia="en-AU" w:bidi="ar-SA"/>
        </w:rPr>
        <w:t xml:space="preserve">The </w:t>
      </w:r>
      <w:r w:rsidRPr="00D728C5">
        <w:rPr>
          <w:i/>
          <w:lang w:eastAsia="en-AU" w:bidi="ar-SA"/>
        </w:rPr>
        <w:t>G. stearothermophilus</w:t>
      </w:r>
      <w:r w:rsidRPr="00D728C5">
        <w:rPr>
          <w:lang w:eastAsia="en-AU" w:bidi="ar-SA"/>
        </w:rPr>
        <w:t xml:space="preserve"> maltogenic alpha</w:t>
      </w:r>
      <w:r w:rsidR="00DF13FC">
        <w:rPr>
          <w:lang w:eastAsia="en-AU" w:bidi="ar-SA"/>
        </w:rPr>
        <w:t xml:space="preserve"> </w:t>
      </w:r>
      <w:r w:rsidRPr="00D728C5">
        <w:rPr>
          <w:lang w:eastAsia="en-AU" w:bidi="ar-SA"/>
        </w:rPr>
        <w:t xml:space="preserve">amylase test item used in the following toxicity studies was produced using </w:t>
      </w:r>
      <w:r w:rsidR="008E708C" w:rsidRPr="00D728C5">
        <w:rPr>
          <w:i/>
          <w:lang w:eastAsia="en-AU" w:bidi="ar-SA"/>
        </w:rPr>
        <w:t xml:space="preserve">E. coli </w:t>
      </w:r>
      <w:r w:rsidR="008E708C" w:rsidRPr="00D728C5">
        <w:rPr>
          <w:lang w:eastAsia="en-AU" w:bidi="ar-SA"/>
        </w:rPr>
        <w:t>BLASC</w:t>
      </w:r>
      <w:r w:rsidRPr="00D728C5">
        <w:rPr>
          <w:i/>
          <w:lang w:eastAsia="en-AU" w:bidi="ar-SA"/>
        </w:rPr>
        <w:t xml:space="preserve"> </w:t>
      </w:r>
      <w:r w:rsidRPr="00D728C5">
        <w:t xml:space="preserve">and </w:t>
      </w:r>
      <w:r w:rsidRPr="00D728C5">
        <w:rPr>
          <w:lang w:val="en-AU" w:eastAsia="en-AU" w:bidi="ar-SA"/>
        </w:rPr>
        <w:t>represent</w:t>
      </w:r>
      <w:r w:rsidR="00DF779D">
        <w:rPr>
          <w:lang w:val="en-AU" w:eastAsia="en-AU" w:bidi="ar-SA"/>
        </w:rPr>
        <w:t>ed the commercial enzyme product</w:t>
      </w:r>
      <w:r w:rsidRPr="00D728C5">
        <w:rPr>
          <w:lang w:val="en-AU" w:eastAsia="en-AU" w:bidi="ar-SA"/>
        </w:rPr>
        <w:t>.</w:t>
      </w:r>
      <w:r w:rsidR="008439FA">
        <w:rPr>
          <w:lang w:val="en-AU" w:eastAsia="en-AU" w:bidi="ar-SA"/>
        </w:rPr>
        <w:t xml:space="preserve"> </w:t>
      </w:r>
    </w:p>
    <w:p w14:paraId="4C93090A" w14:textId="77777777" w:rsidR="00F43EB2" w:rsidRPr="00D728C5" w:rsidRDefault="00F43EB2" w:rsidP="00F43EB2">
      <w:pPr>
        <w:rPr>
          <w:b/>
          <w:bCs/>
          <w:lang w:eastAsia="en-AU" w:bidi="ar-SA"/>
        </w:rPr>
      </w:pPr>
    </w:p>
    <w:p w14:paraId="3FCEB0E8" w14:textId="1613F060" w:rsidR="00F43EB2" w:rsidRPr="00D728C5" w:rsidRDefault="00F43EB2" w:rsidP="00F43EB2">
      <w:pPr>
        <w:rPr>
          <w:b/>
          <w:i/>
          <w:lang w:eastAsia="en-AU" w:bidi="ar-SA"/>
        </w:rPr>
      </w:pPr>
      <w:r w:rsidRPr="00D728C5">
        <w:rPr>
          <w:b/>
          <w:i/>
          <w:lang w:eastAsia="en-AU" w:bidi="ar-SA"/>
        </w:rPr>
        <w:t>Animal Studies</w:t>
      </w:r>
    </w:p>
    <w:p w14:paraId="776579D0" w14:textId="77777777" w:rsidR="00F43EB2" w:rsidRDefault="00F43EB2" w:rsidP="00F43EB2">
      <w:pPr>
        <w:rPr>
          <w:i/>
          <w:u w:val="single"/>
          <w:lang w:eastAsia="en-AU" w:bidi="ar-SA"/>
        </w:rPr>
      </w:pPr>
    </w:p>
    <w:p w14:paraId="1ADC3843" w14:textId="296DBAD2" w:rsidR="00F43EB2" w:rsidRPr="00DC06C8" w:rsidRDefault="00F43EB2" w:rsidP="00F43EB2">
      <w:pPr>
        <w:rPr>
          <w:lang w:eastAsia="en-AU" w:bidi="ar-SA"/>
        </w:rPr>
      </w:pPr>
      <w:r>
        <w:rPr>
          <w:i/>
          <w:u w:val="single"/>
          <w:lang w:eastAsia="en-AU" w:bidi="ar-SA"/>
        </w:rPr>
        <w:t xml:space="preserve">Acute oral </w:t>
      </w:r>
      <w:r w:rsidRPr="00391B85">
        <w:rPr>
          <w:i/>
          <w:u w:val="single"/>
          <w:lang w:eastAsia="en-AU" w:bidi="ar-SA"/>
        </w:rPr>
        <w:t>toxicity study in rats (</w:t>
      </w:r>
      <w:r w:rsidR="00CD429F" w:rsidRPr="00391B85">
        <w:rPr>
          <w:i/>
          <w:u w:val="single"/>
          <w:lang w:val="en-US" w:bidi="ar-SA"/>
        </w:rPr>
        <w:t>INTOX Pvt. Ltd.</w:t>
      </w:r>
      <w:r w:rsidR="00CD429F" w:rsidRPr="00391B85">
        <w:rPr>
          <w:i/>
          <w:u w:val="single"/>
          <w:lang w:eastAsia="en-AU" w:bidi="ar-SA"/>
        </w:rPr>
        <w:t>, 2014</w:t>
      </w:r>
      <w:r w:rsidRPr="00391B85">
        <w:rPr>
          <w:i/>
          <w:u w:val="single"/>
          <w:lang w:eastAsia="en-AU" w:bidi="ar-SA"/>
        </w:rPr>
        <w:t>). Regulatory Status: GLP; conducted according to OECD Test Guideline 423.</w:t>
      </w:r>
      <w:r w:rsidRPr="00391B85">
        <w:rPr>
          <w:lang w:eastAsia="en-AU" w:bidi="ar-SA"/>
        </w:rPr>
        <w:t xml:space="preserve"> </w:t>
      </w:r>
    </w:p>
    <w:p w14:paraId="4B62EE49" w14:textId="02A0E533" w:rsidR="00F43EB2" w:rsidRDefault="00F43EB2" w:rsidP="00F43EB2">
      <w:pPr>
        <w:rPr>
          <w:i/>
          <w:u w:val="single"/>
          <w:lang w:eastAsia="en-AU" w:bidi="ar-SA"/>
        </w:rPr>
      </w:pPr>
    </w:p>
    <w:p w14:paraId="75D35B18" w14:textId="448B9AC0" w:rsidR="00520BAE" w:rsidRPr="00520BAE" w:rsidRDefault="001C00CB" w:rsidP="00391B85">
      <w:pPr>
        <w:rPr>
          <w:lang w:eastAsia="en-AU" w:bidi="ar-SA"/>
        </w:rPr>
      </w:pPr>
      <w:r w:rsidRPr="00520BAE">
        <w:rPr>
          <w:lang w:eastAsia="en-AU" w:bidi="ar-SA"/>
        </w:rPr>
        <w:t>The maltogenic alpha</w:t>
      </w:r>
      <w:r w:rsidR="00DF13FC">
        <w:rPr>
          <w:lang w:eastAsia="en-AU" w:bidi="ar-SA"/>
        </w:rPr>
        <w:t xml:space="preserve"> </w:t>
      </w:r>
      <w:r w:rsidRPr="00520BAE">
        <w:rPr>
          <w:lang w:eastAsia="en-AU" w:bidi="ar-SA"/>
        </w:rPr>
        <w:t xml:space="preserve">amylase test item was administered by oral gavage </w:t>
      </w:r>
      <w:r w:rsidR="009261DD">
        <w:rPr>
          <w:lang w:eastAsia="en-AU" w:bidi="ar-SA"/>
        </w:rPr>
        <w:t>as a single dose of 2000 mg/kg bw</w:t>
      </w:r>
      <w:r w:rsidR="00D60C30">
        <w:rPr>
          <w:lang w:eastAsia="en-AU" w:bidi="ar-SA"/>
        </w:rPr>
        <w:t xml:space="preserve"> </w:t>
      </w:r>
      <w:r w:rsidR="00391B85" w:rsidRPr="00520BAE">
        <w:rPr>
          <w:lang w:eastAsia="en-AU" w:bidi="ar-SA"/>
        </w:rPr>
        <w:t xml:space="preserve">to </w:t>
      </w:r>
      <w:r w:rsidR="00C377A8">
        <w:rPr>
          <w:lang w:eastAsia="en-AU" w:bidi="ar-SA"/>
        </w:rPr>
        <w:t xml:space="preserve">two groups of </w:t>
      </w:r>
      <w:r w:rsidR="00391B85" w:rsidRPr="00520BAE">
        <w:rPr>
          <w:lang w:eastAsia="en-AU" w:bidi="ar-SA"/>
        </w:rPr>
        <w:t>female Wistar rats (3/</w:t>
      </w:r>
      <w:r w:rsidR="00932188" w:rsidRPr="00520BAE">
        <w:rPr>
          <w:lang w:eastAsia="en-AU" w:bidi="ar-SA"/>
        </w:rPr>
        <w:t xml:space="preserve">test </w:t>
      </w:r>
      <w:r w:rsidR="00391B85" w:rsidRPr="00520BAE">
        <w:rPr>
          <w:lang w:eastAsia="en-AU" w:bidi="ar-SA"/>
        </w:rPr>
        <w:t>group)</w:t>
      </w:r>
      <w:r w:rsidRPr="00520BAE">
        <w:rPr>
          <w:lang w:eastAsia="en-AU" w:bidi="ar-SA"/>
        </w:rPr>
        <w:t xml:space="preserve">. </w:t>
      </w:r>
      <w:r w:rsidR="009261DD">
        <w:rPr>
          <w:lang w:eastAsia="en-AU" w:bidi="ar-SA"/>
        </w:rPr>
        <w:t xml:space="preserve">Water was used as the vehicle control. </w:t>
      </w:r>
      <w:r w:rsidR="00391B85" w:rsidRPr="00520BAE">
        <w:rPr>
          <w:lang w:eastAsia="en-AU" w:bidi="ar-SA"/>
        </w:rPr>
        <w:t>No mortality occurred during the study</w:t>
      </w:r>
      <w:r w:rsidR="009261DD">
        <w:rPr>
          <w:lang w:eastAsia="en-AU" w:bidi="ar-SA"/>
        </w:rPr>
        <w:t>.</w:t>
      </w:r>
      <w:r w:rsidR="00D42BD9">
        <w:rPr>
          <w:lang w:eastAsia="en-AU" w:bidi="ar-SA"/>
        </w:rPr>
        <w:t xml:space="preserve"> </w:t>
      </w:r>
      <w:r w:rsidR="00391B85" w:rsidRPr="00520BAE">
        <w:rPr>
          <w:lang w:eastAsia="en-AU" w:bidi="ar-SA"/>
        </w:rPr>
        <w:t>No remarkable macroscopic or histopathological changes were observed at necropsy</w:t>
      </w:r>
      <w:r w:rsidR="009261DD">
        <w:rPr>
          <w:lang w:eastAsia="en-AU" w:bidi="ar-SA"/>
        </w:rPr>
        <w:t>.</w:t>
      </w:r>
      <w:r w:rsidR="00932188" w:rsidRPr="00520BAE">
        <w:rPr>
          <w:lang w:eastAsia="en-AU" w:bidi="ar-SA"/>
        </w:rPr>
        <w:t xml:space="preserve"> </w:t>
      </w:r>
      <w:r w:rsidR="00D42BD9">
        <w:rPr>
          <w:lang w:eastAsia="en-AU" w:bidi="ar-SA"/>
        </w:rPr>
        <w:t>It</w:t>
      </w:r>
      <w:r w:rsidR="00626924">
        <w:rPr>
          <w:lang w:eastAsia="en-AU" w:bidi="ar-SA"/>
        </w:rPr>
        <w:t xml:space="preserve"> was concluded that the</w:t>
      </w:r>
      <w:r w:rsidR="004A7DFB">
        <w:rPr>
          <w:lang w:eastAsia="en-AU" w:bidi="ar-SA"/>
        </w:rPr>
        <w:t xml:space="preserve"> median </w:t>
      </w:r>
      <w:r w:rsidR="00626924">
        <w:rPr>
          <w:lang w:eastAsia="en-AU" w:bidi="ar-SA"/>
        </w:rPr>
        <w:t>lethal dose</w:t>
      </w:r>
      <w:r w:rsidR="004A7DFB">
        <w:rPr>
          <w:lang w:eastAsia="en-AU" w:bidi="ar-SA"/>
        </w:rPr>
        <w:t xml:space="preserve"> (LD</w:t>
      </w:r>
      <w:r w:rsidR="0009433E" w:rsidRPr="007F33B9">
        <w:rPr>
          <w:lang w:eastAsia="en-AU" w:bidi="ar-SA"/>
        </w:rPr>
        <w:t>50</w:t>
      </w:r>
      <w:r w:rsidR="004A7DFB">
        <w:rPr>
          <w:lang w:eastAsia="en-AU" w:bidi="ar-SA"/>
        </w:rPr>
        <w:t>)</w:t>
      </w:r>
      <w:r w:rsidR="00626924">
        <w:rPr>
          <w:lang w:eastAsia="en-AU" w:bidi="ar-SA"/>
        </w:rPr>
        <w:t xml:space="preserve"> of the maltogenic alpha</w:t>
      </w:r>
      <w:r w:rsidR="00DF13FC">
        <w:rPr>
          <w:lang w:eastAsia="en-AU" w:bidi="ar-SA"/>
        </w:rPr>
        <w:t xml:space="preserve"> </w:t>
      </w:r>
      <w:r w:rsidR="00626924">
        <w:rPr>
          <w:lang w:eastAsia="en-AU" w:bidi="ar-SA"/>
        </w:rPr>
        <w:t>amy</w:t>
      </w:r>
      <w:r w:rsidR="00D42BD9">
        <w:rPr>
          <w:lang w:eastAsia="en-AU" w:bidi="ar-SA"/>
        </w:rPr>
        <w:t>lase test item is greater than 5</w:t>
      </w:r>
      <w:r w:rsidR="00626924">
        <w:rPr>
          <w:lang w:eastAsia="en-AU" w:bidi="ar-SA"/>
        </w:rPr>
        <w:t>000 mg/kg bw</w:t>
      </w:r>
      <w:r w:rsidR="0009433E">
        <w:rPr>
          <w:rStyle w:val="FootnoteReference"/>
          <w:lang w:eastAsia="en-AU" w:bidi="ar-SA"/>
        </w:rPr>
        <w:footnoteReference w:id="14"/>
      </w:r>
      <w:r w:rsidR="00626924">
        <w:rPr>
          <w:lang w:eastAsia="en-AU" w:bidi="ar-SA"/>
        </w:rPr>
        <w:t>.</w:t>
      </w:r>
    </w:p>
    <w:p w14:paraId="4B653F90" w14:textId="77777777" w:rsidR="00601E58" w:rsidRDefault="00601E58" w:rsidP="00F43EB2">
      <w:pPr>
        <w:rPr>
          <w:i/>
          <w:u w:val="single"/>
          <w:lang w:eastAsia="en-AU" w:bidi="ar-SA"/>
        </w:rPr>
      </w:pPr>
    </w:p>
    <w:p w14:paraId="0AFF0FFC" w14:textId="041A672B" w:rsidR="00F43EB2" w:rsidRPr="00F62783" w:rsidRDefault="00F43EB2" w:rsidP="00F43EB2">
      <w:pPr>
        <w:rPr>
          <w:lang w:eastAsia="en-AU" w:bidi="ar-SA"/>
        </w:rPr>
      </w:pPr>
      <w:r w:rsidRPr="00DC06C8">
        <w:rPr>
          <w:i/>
          <w:u w:val="single"/>
          <w:lang w:eastAsia="en-AU" w:bidi="ar-SA"/>
        </w:rPr>
        <w:t>90-day repeated dose oral toxicity study in rats (</w:t>
      </w:r>
      <w:r w:rsidR="00CD429F">
        <w:rPr>
          <w:i/>
          <w:u w:val="single"/>
          <w:lang w:val="en-US" w:bidi="ar-SA"/>
        </w:rPr>
        <w:t>INTOX Pvt. Ltd.</w:t>
      </w:r>
      <w:r w:rsidR="00CD429F">
        <w:rPr>
          <w:i/>
          <w:u w:val="single"/>
          <w:lang w:eastAsia="en-AU" w:bidi="ar-SA"/>
        </w:rPr>
        <w:t>, 2015</w:t>
      </w:r>
      <w:r w:rsidRPr="00F62783">
        <w:rPr>
          <w:i/>
          <w:u w:val="single"/>
          <w:lang w:eastAsia="en-AU" w:bidi="ar-SA"/>
        </w:rPr>
        <w:t>). Regulatory Status: GLP; conducted according to OECD Test Guideline 408.</w:t>
      </w:r>
      <w:r w:rsidRPr="00F62783">
        <w:rPr>
          <w:lang w:eastAsia="en-AU" w:bidi="ar-SA"/>
        </w:rPr>
        <w:t xml:space="preserve"> </w:t>
      </w:r>
    </w:p>
    <w:p w14:paraId="7614EDEA" w14:textId="77777777" w:rsidR="00F43EB2" w:rsidRPr="00DC06C8" w:rsidRDefault="00F43EB2" w:rsidP="00F43EB2">
      <w:pPr>
        <w:rPr>
          <w:lang w:eastAsia="en-AU" w:bidi="ar-SA"/>
        </w:rPr>
      </w:pPr>
    </w:p>
    <w:p w14:paraId="1BF83321" w14:textId="04DEF7A0" w:rsidR="00F43EB2" w:rsidRPr="00601E58" w:rsidRDefault="00F43EB2" w:rsidP="00F43EB2">
      <w:pPr>
        <w:rPr>
          <w:lang w:eastAsia="en-AU" w:bidi="ar-SA"/>
        </w:rPr>
      </w:pPr>
      <w:r w:rsidRPr="00601E58">
        <w:rPr>
          <w:lang w:eastAsia="en-AU" w:bidi="ar-SA"/>
        </w:rPr>
        <w:t>The maltogenic alpha</w:t>
      </w:r>
      <w:r w:rsidR="00DF13FC">
        <w:rPr>
          <w:lang w:eastAsia="en-AU" w:bidi="ar-SA"/>
        </w:rPr>
        <w:t xml:space="preserve"> </w:t>
      </w:r>
      <w:r w:rsidRPr="00601E58">
        <w:rPr>
          <w:lang w:eastAsia="en-AU" w:bidi="ar-SA"/>
        </w:rPr>
        <w:t>amylase test item was administered to Wistar rats (10/sex /group) at doses of 0, 2</w:t>
      </w:r>
      <w:r w:rsidR="008E708C" w:rsidRPr="00601E58">
        <w:rPr>
          <w:lang w:eastAsia="en-AU" w:bidi="ar-SA"/>
        </w:rPr>
        <w:t>50, 500 and 1000</w:t>
      </w:r>
      <w:r w:rsidRPr="00601E58">
        <w:rPr>
          <w:lang w:eastAsia="en-AU" w:bidi="ar-SA"/>
        </w:rPr>
        <w:t xml:space="preserve"> mg/kg bw/day </w:t>
      </w:r>
      <w:r w:rsidR="008E708C" w:rsidRPr="00601E58">
        <w:rPr>
          <w:lang w:eastAsia="en-AU" w:bidi="ar-SA"/>
        </w:rPr>
        <w:t>enzyme (0, 209</w:t>
      </w:r>
      <w:r w:rsidR="00C377A8">
        <w:rPr>
          <w:lang w:eastAsia="en-AU" w:bidi="ar-SA"/>
        </w:rPr>
        <w:t>,</w:t>
      </w:r>
      <w:r w:rsidR="008E708C" w:rsidRPr="00601E58">
        <w:rPr>
          <w:lang w:eastAsia="en-AU" w:bidi="ar-SA"/>
        </w:rPr>
        <w:t xml:space="preserve"> 419 and 838 mg/kg bw/day TOS, respectively)</w:t>
      </w:r>
      <w:r w:rsidRPr="00601E58">
        <w:rPr>
          <w:lang w:eastAsia="en-AU" w:bidi="ar-SA"/>
        </w:rPr>
        <w:t xml:space="preserve"> by oral gavage for 13 weeks</w:t>
      </w:r>
      <w:r w:rsidR="00F64795" w:rsidRPr="00601E58">
        <w:rPr>
          <w:lang w:eastAsia="en-AU" w:bidi="ar-SA"/>
        </w:rPr>
        <w:t xml:space="preserve">. </w:t>
      </w:r>
      <w:r w:rsidR="00D47A56">
        <w:rPr>
          <w:lang w:eastAsia="en-AU" w:bidi="ar-SA"/>
        </w:rPr>
        <w:t>A</w:t>
      </w:r>
      <w:r w:rsidR="00601E58">
        <w:rPr>
          <w:lang w:eastAsia="en-AU" w:bidi="ar-SA"/>
        </w:rPr>
        <w:t xml:space="preserve">dditional control and high-dose animals (5/sex/group) were administered the test item for </w:t>
      </w:r>
      <w:r w:rsidR="00D47A56">
        <w:rPr>
          <w:lang w:eastAsia="en-AU" w:bidi="ar-SA"/>
        </w:rPr>
        <w:t>13 weeks and allowed a further 4 week</w:t>
      </w:r>
      <w:r w:rsidR="00601E58">
        <w:rPr>
          <w:lang w:eastAsia="en-AU" w:bidi="ar-SA"/>
        </w:rPr>
        <w:t xml:space="preserve"> </w:t>
      </w:r>
      <w:r w:rsidR="00D47A56">
        <w:rPr>
          <w:lang w:eastAsia="en-AU" w:bidi="ar-SA"/>
        </w:rPr>
        <w:t xml:space="preserve">recovery period before necropsy. </w:t>
      </w:r>
      <w:r w:rsidR="00F64795" w:rsidRPr="00601E58">
        <w:rPr>
          <w:lang w:eastAsia="en-AU" w:bidi="ar-SA"/>
        </w:rPr>
        <w:t>The vehicle control was water</w:t>
      </w:r>
      <w:r w:rsidRPr="00601E58">
        <w:rPr>
          <w:lang w:eastAsia="en-AU" w:bidi="ar-SA"/>
        </w:rPr>
        <w:t>.</w:t>
      </w:r>
    </w:p>
    <w:p w14:paraId="1BCE3C0D" w14:textId="77777777" w:rsidR="00F43EB2" w:rsidRPr="00601E58" w:rsidRDefault="00F43EB2" w:rsidP="00F43EB2">
      <w:pPr>
        <w:rPr>
          <w:lang w:eastAsia="en-AU" w:bidi="ar-SA"/>
        </w:rPr>
      </w:pPr>
    </w:p>
    <w:p w14:paraId="0B998CDA" w14:textId="2C022447" w:rsidR="008864D6" w:rsidRPr="004B59BE" w:rsidRDefault="00601E58" w:rsidP="00F43EB2">
      <w:pPr>
        <w:rPr>
          <w:lang w:eastAsia="en-AU" w:bidi="ar-SA"/>
        </w:rPr>
      </w:pPr>
      <w:r w:rsidRPr="00601E58">
        <w:rPr>
          <w:lang w:eastAsia="en-AU" w:bidi="ar-SA"/>
        </w:rPr>
        <w:t>Animals were observed daily for signs of toxicity.</w:t>
      </w:r>
      <w:r w:rsidR="00F43EB2" w:rsidRPr="00601E58">
        <w:rPr>
          <w:lang w:eastAsia="en-AU" w:bidi="ar-SA"/>
        </w:rPr>
        <w:t xml:space="preserve"> Body weight, food consumption and detailed clinical examinations for signs of toxicity were recorded weekly. Ophthalmological examination was conducted on</w:t>
      </w:r>
      <w:r w:rsidRPr="00601E58">
        <w:rPr>
          <w:lang w:eastAsia="en-AU" w:bidi="ar-SA"/>
        </w:rPr>
        <w:t xml:space="preserve"> control and high dose</w:t>
      </w:r>
      <w:r w:rsidR="00F43EB2" w:rsidRPr="00601E58">
        <w:rPr>
          <w:lang w:eastAsia="en-AU" w:bidi="ar-SA"/>
        </w:rPr>
        <w:t xml:space="preserve"> test animals prior to treatment and at study termination. Functional performance and sensory reactivity </w:t>
      </w:r>
      <w:r w:rsidR="00F43EB2" w:rsidRPr="00601E58">
        <w:rPr>
          <w:lang w:eastAsia="en-AU" w:bidi="ar-SA"/>
        </w:rPr>
        <w:lastRenderedPageBreak/>
        <w:t xml:space="preserve">tests were performed in week </w:t>
      </w:r>
      <w:r w:rsidR="00F43EB2" w:rsidRPr="00D47A56">
        <w:rPr>
          <w:lang w:eastAsia="en-AU" w:bidi="ar-SA"/>
        </w:rPr>
        <w:t>1</w:t>
      </w:r>
      <w:r w:rsidRPr="00D47A56">
        <w:rPr>
          <w:lang w:eastAsia="en-AU" w:bidi="ar-SA"/>
        </w:rPr>
        <w:t>3</w:t>
      </w:r>
      <w:r w:rsidR="00F43EB2" w:rsidRPr="00D47A56">
        <w:rPr>
          <w:lang w:eastAsia="en-AU" w:bidi="ar-SA"/>
        </w:rPr>
        <w:t xml:space="preserve">. Gross </w:t>
      </w:r>
      <w:r w:rsidR="00F43EB2" w:rsidRPr="004B59BE">
        <w:rPr>
          <w:lang w:eastAsia="en-AU" w:bidi="ar-SA"/>
        </w:rPr>
        <w:t xml:space="preserve">pathology and measurement of organ weights was conducted on all animals at study termination, and a histopathological examination was conducted on organs and tissues from the control and high-dose group animals. </w:t>
      </w:r>
      <w:r w:rsidR="004B59BE" w:rsidRPr="004B59BE">
        <w:rPr>
          <w:lang w:eastAsia="en-AU" w:bidi="ar-SA"/>
        </w:rPr>
        <w:t>Following the lack of adverse finding in these groups, histopathological examinations were not extended to the low-dose and recovery group animals.</w:t>
      </w:r>
    </w:p>
    <w:p w14:paraId="7A885A90" w14:textId="77777777" w:rsidR="00F43EB2" w:rsidRPr="004B59BE" w:rsidRDefault="00F43EB2" w:rsidP="00F43EB2">
      <w:pPr>
        <w:rPr>
          <w:lang w:eastAsia="en-AU" w:bidi="ar-SA"/>
        </w:rPr>
      </w:pPr>
    </w:p>
    <w:p w14:paraId="5C073C19" w14:textId="4CE6BB6A" w:rsidR="00F43EB2" w:rsidRPr="00601E58" w:rsidRDefault="00F43EB2" w:rsidP="00F43EB2">
      <w:pPr>
        <w:rPr>
          <w:lang w:val="en-AU" w:eastAsia="en-AU" w:bidi="ar-SA"/>
        </w:rPr>
      </w:pPr>
      <w:r w:rsidRPr="004B59BE">
        <w:rPr>
          <w:lang w:val="en-AU" w:eastAsia="en-AU" w:bidi="ar-SA"/>
        </w:rPr>
        <w:t xml:space="preserve">No mortality occurred during the study. No treatment related effects were observed </w:t>
      </w:r>
      <w:r w:rsidRPr="004B59BE">
        <w:rPr>
          <w:lang w:eastAsia="en-AU" w:bidi="ar-SA"/>
        </w:rPr>
        <w:t>on feed consumption, body weights, haematology, clinical chemistry, ophthalmology, or functional observations or motor activity parameters</w:t>
      </w:r>
      <w:r w:rsidRPr="00601E58">
        <w:rPr>
          <w:lang w:eastAsia="en-AU" w:bidi="ar-SA"/>
        </w:rPr>
        <w:t xml:space="preserve">. </w:t>
      </w:r>
      <w:r w:rsidRPr="00601E58">
        <w:rPr>
          <w:lang w:val="en-AU" w:eastAsia="en-AU" w:bidi="ar-SA"/>
        </w:rPr>
        <w:t xml:space="preserve">No remarkable </w:t>
      </w:r>
      <w:r w:rsidRPr="00601E58">
        <w:rPr>
          <w:lang w:eastAsia="en-AU" w:bidi="ar-SA"/>
        </w:rPr>
        <w:t xml:space="preserve">macroscopic or histopathological changes </w:t>
      </w:r>
      <w:r w:rsidRPr="00601E58">
        <w:rPr>
          <w:lang w:val="en-AU" w:eastAsia="en-AU" w:bidi="ar-SA"/>
        </w:rPr>
        <w:t xml:space="preserve">were observed at necropsy. </w:t>
      </w:r>
    </w:p>
    <w:p w14:paraId="1C99799B" w14:textId="77777777" w:rsidR="00F43EB2" w:rsidRPr="00601E58" w:rsidRDefault="00F43EB2" w:rsidP="00F43EB2">
      <w:pPr>
        <w:rPr>
          <w:lang w:val="en-AU" w:eastAsia="en-AU" w:bidi="ar-SA"/>
        </w:rPr>
      </w:pPr>
    </w:p>
    <w:p w14:paraId="46DADFB6" w14:textId="0F4E259A" w:rsidR="00F43EB2" w:rsidRPr="00601E58" w:rsidRDefault="00F43EB2" w:rsidP="00F43EB2">
      <w:pPr>
        <w:rPr>
          <w:lang w:eastAsia="en-AU" w:bidi="ar-SA"/>
        </w:rPr>
      </w:pPr>
      <w:r w:rsidRPr="00601E58">
        <w:rPr>
          <w:lang w:val="en-AU" w:eastAsia="en-AU" w:bidi="ar-SA"/>
        </w:rPr>
        <w:t xml:space="preserve">The </w:t>
      </w:r>
      <w:r w:rsidR="004F560A" w:rsidRPr="004F560A">
        <w:rPr>
          <w:lang w:val="en-AU" w:eastAsia="en-AU" w:bidi="ar-SA"/>
        </w:rPr>
        <w:t xml:space="preserve">no observed adverse effect level </w:t>
      </w:r>
      <w:r w:rsidR="004F560A">
        <w:rPr>
          <w:lang w:val="en-AU" w:eastAsia="en-AU" w:bidi="ar-SA"/>
        </w:rPr>
        <w:t>(</w:t>
      </w:r>
      <w:r w:rsidRPr="00601E58">
        <w:rPr>
          <w:lang w:eastAsia="en-AU" w:bidi="ar-SA"/>
        </w:rPr>
        <w:t>NOAEL</w:t>
      </w:r>
      <w:r w:rsidR="004F560A">
        <w:rPr>
          <w:lang w:eastAsia="en-AU" w:bidi="ar-SA"/>
        </w:rPr>
        <w:t>)</w:t>
      </w:r>
      <w:r w:rsidRPr="00601E58">
        <w:rPr>
          <w:lang w:eastAsia="en-AU" w:bidi="ar-SA"/>
        </w:rPr>
        <w:t xml:space="preserve"> was </w:t>
      </w:r>
      <w:r w:rsidR="00417FB6" w:rsidRPr="00601E58">
        <w:rPr>
          <w:lang w:eastAsia="en-AU" w:bidi="ar-SA"/>
        </w:rPr>
        <w:t>1000</w:t>
      </w:r>
      <w:r w:rsidRPr="00601E58">
        <w:rPr>
          <w:lang w:eastAsia="en-AU" w:bidi="ar-SA"/>
        </w:rPr>
        <w:t xml:space="preserve"> mg/kg bw/day </w:t>
      </w:r>
      <w:r w:rsidR="00417FB6" w:rsidRPr="00601E58">
        <w:rPr>
          <w:lang w:eastAsia="en-AU" w:bidi="ar-SA"/>
        </w:rPr>
        <w:t>enzyme (838</w:t>
      </w:r>
      <w:r w:rsidR="004F560A">
        <w:rPr>
          <w:lang w:eastAsia="en-AU" w:bidi="ar-SA"/>
        </w:rPr>
        <w:t> </w:t>
      </w:r>
      <w:r w:rsidR="00417FB6" w:rsidRPr="00601E58">
        <w:rPr>
          <w:lang w:eastAsia="en-AU" w:bidi="ar-SA"/>
        </w:rPr>
        <w:t xml:space="preserve">mg/kg bw/day </w:t>
      </w:r>
      <w:r w:rsidRPr="00601E58">
        <w:rPr>
          <w:lang w:eastAsia="en-AU" w:bidi="ar-SA"/>
        </w:rPr>
        <w:t>TOS</w:t>
      </w:r>
      <w:r w:rsidR="00417FB6" w:rsidRPr="00601E58">
        <w:rPr>
          <w:lang w:eastAsia="en-AU" w:bidi="ar-SA"/>
        </w:rPr>
        <w:t>)</w:t>
      </w:r>
      <w:r w:rsidRPr="00601E58">
        <w:rPr>
          <w:lang w:eastAsia="en-AU" w:bidi="ar-SA"/>
        </w:rPr>
        <w:t>, which was the highest dose tested.</w:t>
      </w:r>
    </w:p>
    <w:p w14:paraId="55C52FFE" w14:textId="77777777" w:rsidR="00F43EB2" w:rsidRPr="00DC06C8" w:rsidRDefault="00F43EB2" w:rsidP="00F43EB2">
      <w:pPr>
        <w:rPr>
          <w:lang w:eastAsia="en-AU" w:bidi="ar-SA"/>
        </w:rPr>
      </w:pPr>
    </w:p>
    <w:p w14:paraId="08CF0C2D" w14:textId="77777777" w:rsidR="00F43EB2" w:rsidRPr="00DC2D41" w:rsidRDefault="00F43EB2" w:rsidP="00F43EB2">
      <w:pPr>
        <w:rPr>
          <w:b/>
          <w:i/>
          <w:lang w:val="en-US" w:bidi="ar-SA"/>
        </w:rPr>
      </w:pPr>
      <w:r>
        <w:rPr>
          <w:b/>
          <w:i/>
          <w:lang w:val="en-US" w:bidi="ar-SA"/>
        </w:rPr>
        <w:t>Genotoxicity</w:t>
      </w:r>
    </w:p>
    <w:p w14:paraId="0A12D937" w14:textId="77777777" w:rsidR="00F43EB2" w:rsidRDefault="00F43EB2" w:rsidP="00F43EB2">
      <w:pPr>
        <w:rPr>
          <w:lang w:val="en-US" w:bidi="ar-SA"/>
        </w:rPr>
      </w:pPr>
    </w:p>
    <w:p w14:paraId="1023D5AB" w14:textId="04E96342" w:rsidR="00F43EB2" w:rsidRPr="00CD6900" w:rsidRDefault="00F43EB2" w:rsidP="00F43EB2">
      <w:pPr>
        <w:rPr>
          <w:i/>
          <w:u w:val="single"/>
          <w:lang w:val="en-US" w:bidi="ar-SA"/>
        </w:rPr>
      </w:pPr>
      <w:r w:rsidRPr="00CD6900">
        <w:rPr>
          <w:i/>
          <w:u w:val="single"/>
          <w:lang w:val="en-US" w:bidi="ar-SA"/>
        </w:rPr>
        <w:t>Bacterial reverse mutation test (</w:t>
      </w:r>
      <w:r w:rsidR="00CD429F" w:rsidRPr="00CD6900">
        <w:rPr>
          <w:i/>
          <w:u w:val="single"/>
          <w:lang w:val="en-US" w:bidi="ar-SA"/>
        </w:rPr>
        <w:t>INTOX Pvt. Ltd.</w:t>
      </w:r>
      <w:r w:rsidRPr="00CD6900">
        <w:rPr>
          <w:i/>
          <w:u w:val="single"/>
          <w:lang w:val="en-US" w:bidi="ar-SA"/>
        </w:rPr>
        <w:t>, 201</w:t>
      </w:r>
      <w:r w:rsidR="00CD429F" w:rsidRPr="00CD6900">
        <w:rPr>
          <w:i/>
          <w:u w:val="single"/>
          <w:lang w:val="en-US" w:bidi="ar-SA"/>
        </w:rPr>
        <w:t>4</w:t>
      </w:r>
      <w:r w:rsidRPr="00CD6900">
        <w:rPr>
          <w:i/>
          <w:u w:val="single"/>
          <w:lang w:val="en-US" w:bidi="ar-SA"/>
        </w:rPr>
        <w:t>). Regulatory Status: GLP; conducted according to OECD Test Guideline 471.</w:t>
      </w:r>
    </w:p>
    <w:p w14:paraId="49C8CDEC" w14:textId="77777777" w:rsidR="00F43EB2" w:rsidRPr="00CD6900" w:rsidRDefault="00F43EB2" w:rsidP="00F43EB2">
      <w:pPr>
        <w:rPr>
          <w:lang w:val="en-US" w:bidi="ar-SA"/>
        </w:rPr>
      </w:pPr>
    </w:p>
    <w:p w14:paraId="3790B78B" w14:textId="09B24819" w:rsidR="00F43EB2" w:rsidRPr="00CD6900" w:rsidRDefault="00F43EB2" w:rsidP="00F43EB2">
      <w:pPr>
        <w:rPr>
          <w:highlight w:val="yellow"/>
          <w:lang w:val="en-US" w:bidi="ar-SA"/>
        </w:rPr>
      </w:pPr>
      <w:r w:rsidRPr="00CD6900">
        <w:rPr>
          <w:lang w:val="en-US" w:bidi="ar-SA"/>
        </w:rPr>
        <w:t>The potential mutagenicity of maltogenic alpha</w:t>
      </w:r>
      <w:r w:rsidR="00125EB8">
        <w:rPr>
          <w:lang w:val="en-US" w:bidi="ar-SA"/>
        </w:rPr>
        <w:t xml:space="preserve"> </w:t>
      </w:r>
      <w:r w:rsidRPr="00CD6900">
        <w:rPr>
          <w:lang w:val="en-US" w:bidi="ar-SA"/>
        </w:rPr>
        <w:t xml:space="preserve">amylase was evaluated in </w:t>
      </w:r>
      <w:r w:rsidRPr="00CD6900">
        <w:rPr>
          <w:i/>
          <w:lang w:val="en-US" w:bidi="ar-SA"/>
        </w:rPr>
        <w:t>Salmonella typhimurium</w:t>
      </w:r>
      <w:r w:rsidRPr="00CD6900">
        <w:rPr>
          <w:lang w:val="en-US" w:bidi="ar-SA"/>
        </w:rPr>
        <w:t xml:space="preserve"> strains TA</w:t>
      </w:r>
      <w:r w:rsidR="007B7FD0" w:rsidRPr="00CD6900">
        <w:rPr>
          <w:lang w:val="en-US" w:bidi="ar-SA"/>
        </w:rPr>
        <w:t>97a, TA</w:t>
      </w:r>
      <w:r w:rsidRPr="00CD6900">
        <w:rPr>
          <w:lang w:val="en-US" w:bidi="ar-SA"/>
        </w:rPr>
        <w:t>98, TA100</w:t>
      </w:r>
      <w:r w:rsidR="007B7FD0" w:rsidRPr="00CD6900">
        <w:rPr>
          <w:lang w:val="en-US" w:bidi="ar-SA"/>
        </w:rPr>
        <w:t xml:space="preserve">, TA102 and </w:t>
      </w:r>
      <w:r w:rsidRPr="00CD6900">
        <w:rPr>
          <w:lang w:val="en-US" w:bidi="ar-SA"/>
        </w:rPr>
        <w:t xml:space="preserve">TA1535, with and without metabolic activation using rat liver homogenate (S9). Mutation tests were conducted </w:t>
      </w:r>
      <w:r w:rsidR="006836D7" w:rsidRPr="00CD6900">
        <w:rPr>
          <w:lang w:val="en-US" w:bidi="ar-SA"/>
        </w:rPr>
        <w:t>twice independently</w:t>
      </w:r>
      <w:r w:rsidR="00CD6900" w:rsidRPr="00CD6900">
        <w:rPr>
          <w:lang w:val="en-US" w:bidi="ar-SA"/>
        </w:rPr>
        <w:t xml:space="preserve"> </w:t>
      </w:r>
      <w:r w:rsidRPr="00CD6900">
        <w:rPr>
          <w:lang w:val="en-US" w:bidi="ar-SA"/>
        </w:rPr>
        <w:t xml:space="preserve">over a dose range of 50-5000 </w:t>
      </w:r>
      <w:r w:rsidRPr="00CD6900">
        <w:rPr>
          <w:rFonts w:cs="Arial"/>
          <w:lang w:val="en-US" w:bidi="ar-SA"/>
        </w:rPr>
        <w:t>µ</w:t>
      </w:r>
      <w:r w:rsidRPr="00CD6900">
        <w:rPr>
          <w:lang w:val="en-US" w:bidi="ar-SA"/>
        </w:rPr>
        <w:t>g protein/plate</w:t>
      </w:r>
      <w:r w:rsidR="006836D7" w:rsidRPr="00CD6900">
        <w:rPr>
          <w:lang w:val="en-US" w:bidi="ar-SA"/>
        </w:rPr>
        <w:t>.</w:t>
      </w:r>
      <w:r w:rsidR="00CD6900" w:rsidRPr="00CD6900">
        <w:rPr>
          <w:lang w:val="en-US" w:bidi="ar-SA"/>
        </w:rPr>
        <w:t xml:space="preserve"> The concentration range of the test item </w:t>
      </w:r>
      <w:r w:rsidR="00C377A8">
        <w:rPr>
          <w:lang w:val="en-US" w:bidi="ar-SA"/>
        </w:rPr>
        <w:t xml:space="preserve">was </w:t>
      </w:r>
      <w:r w:rsidR="00CD6900" w:rsidRPr="00CD6900">
        <w:rPr>
          <w:lang w:val="en-US" w:bidi="ar-SA"/>
        </w:rPr>
        <w:t>based on the findings of a preliminary dose range finding study.</w:t>
      </w:r>
      <w:r w:rsidR="006836D7" w:rsidRPr="00CD6900">
        <w:rPr>
          <w:lang w:val="en-US" w:bidi="ar-SA"/>
        </w:rPr>
        <w:t xml:space="preserve"> Bacterial cells were incubated for 20</w:t>
      </w:r>
      <w:r w:rsidR="003537EE">
        <w:rPr>
          <w:lang w:val="en-US" w:bidi="ar-SA"/>
        </w:rPr>
        <w:t xml:space="preserve"> </w:t>
      </w:r>
      <w:r w:rsidR="006836D7" w:rsidRPr="00CD6900">
        <w:rPr>
          <w:lang w:val="en-US" w:bidi="ar-SA"/>
        </w:rPr>
        <w:t>min</w:t>
      </w:r>
      <w:r w:rsidR="003537EE">
        <w:rPr>
          <w:lang w:val="en-US" w:bidi="ar-SA"/>
        </w:rPr>
        <w:t>ute</w:t>
      </w:r>
      <w:r w:rsidR="006836D7" w:rsidRPr="00CD6900">
        <w:rPr>
          <w:lang w:val="en-US" w:bidi="ar-SA"/>
        </w:rPr>
        <w:t>s with test item</w:t>
      </w:r>
      <w:r w:rsidR="00CD6900" w:rsidRPr="00CD6900">
        <w:rPr>
          <w:lang w:val="en-US" w:bidi="ar-SA"/>
        </w:rPr>
        <w:t>,</w:t>
      </w:r>
      <w:r w:rsidR="006836D7" w:rsidRPr="00CD6900">
        <w:rPr>
          <w:lang w:val="en-US" w:bidi="ar-SA"/>
        </w:rPr>
        <w:t xml:space="preserve"> before being </w:t>
      </w:r>
      <w:r w:rsidR="00CD6900" w:rsidRPr="00CD6900">
        <w:rPr>
          <w:lang w:val="en-US" w:bidi="ar-SA"/>
        </w:rPr>
        <w:t>plated in triplicate</w:t>
      </w:r>
      <w:r w:rsidR="00826A24">
        <w:rPr>
          <w:lang w:val="en-US" w:bidi="ar-SA"/>
        </w:rPr>
        <w:t>.</w:t>
      </w:r>
      <w:r w:rsidRPr="00CD6900">
        <w:rPr>
          <w:lang w:val="en-US" w:bidi="ar-SA"/>
        </w:rPr>
        <w:t xml:space="preserve"> </w:t>
      </w:r>
    </w:p>
    <w:p w14:paraId="45DE1D0C" w14:textId="77777777" w:rsidR="00F43EB2" w:rsidRPr="00CD6900" w:rsidRDefault="00F43EB2" w:rsidP="00F43EB2">
      <w:pPr>
        <w:rPr>
          <w:lang w:val="en-US" w:bidi="ar-SA"/>
        </w:rPr>
      </w:pPr>
    </w:p>
    <w:p w14:paraId="750D2F1F" w14:textId="1B1BC153" w:rsidR="00F43EB2" w:rsidRPr="00CD6900" w:rsidRDefault="00F43EB2" w:rsidP="00F43EB2">
      <w:pPr>
        <w:rPr>
          <w:lang w:val="en-US" w:bidi="ar-SA"/>
        </w:rPr>
      </w:pPr>
      <w:r w:rsidRPr="00CD6900">
        <w:rPr>
          <w:lang w:val="en-US" w:bidi="ar-SA"/>
        </w:rPr>
        <w:t>Positive controls in the absence metabolic activation were</w:t>
      </w:r>
      <w:r w:rsidR="007B7FD0" w:rsidRPr="00CD6900">
        <w:rPr>
          <w:lang w:val="en-US" w:bidi="ar-SA"/>
        </w:rPr>
        <w:t xml:space="preserve"> sodium azide (TA1535), 3-methylmethane sulphonate (TA100, TA102), ICR191 (TA97a) and</w:t>
      </w:r>
      <w:r w:rsidRPr="00CD6900">
        <w:rPr>
          <w:lang w:val="en-US" w:bidi="ar-SA"/>
        </w:rPr>
        <w:t xml:space="preserve"> </w:t>
      </w:r>
      <w:r w:rsidR="007B7FD0" w:rsidRPr="00CD6900">
        <w:rPr>
          <w:lang w:val="en-US" w:bidi="ar-SA"/>
        </w:rPr>
        <w:t>4-nitroquinoline-</w:t>
      </w:r>
      <w:r w:rsidR="007B7FD0" w:rsidRPr="00CD6900">
        <w:rPr>
          <w:i/>
          <w:lang w:val="en-US" w:bidi="ar-SA"/>
        </w:rPr>
        <w:t>N</w:t>
      </w:r>
      <w:r w:rsidRPr="00CD6900">
        <w:rPr>
          <w:lang w:val="en-US" w:bidi="ar-SA"/>
        </w:rPr>
        <w:t>-oxide (TA98). Positive controls in the presence of metabolic activation were 2-aminoanthracene (TA1535)</w:t>
      </w:r>
      <w:r w:rsidR="007B7FD0" w:rsidRPr="00CD6900">
        <w:rPr>
          <w:lang w:val="en-US" w:bidi="ar-SA"/>
        </w:rPr>
        <w:t>, 2-aminofluorene (TA97a, TA98, TA100)</w:t>
      </w:r>
      <w:r w:rsidRPr="00CD6900">
        <w:rPr>
          <w:lang w:val="en-US" w:bidi="ar-SA"/>
        </w:rPr>
        <w:t xml:space="preserve"> and </w:t>
      </w:r>
      <w:r w:rsidR="00381838" w:rsidRPr="00381838">
        <w:rPr>
          <w:lang w:val="en-US" w:bidi="ar-SA"/>
        </w:rPr>
        <w:t xml:space="preserve">1,8-dihydroxyanthraquinone </w:t>
      </w:r>
      <w:r w:rsidRPr="00CD6900">
        <w:rPr>
          <w:lang w:val="en-US" w:bidi="ar-SA"/>
        </w:rPr>
        <w:t>(TA</w:t>
      </w:r>
      <w:r w:rsidR="007B7FD0" w:rsidRPr="00CD6900">
        <w:rPr>
          <w:lang w:val="en-US" w:bidi="ar-SA"/>
        </w:rPr>
        <w:t>102</w:t>
      </w:r>
      <w:r w:rsidRPr="00CD6900">
        <w:rPr>
          <w:lang w:val="en-US" w:bidi="ar-SA"/>
        </w:rPr>
        <w:t xml:space="preserve">). </w:t>
      </w:r>
      <w:r w:rsidR="007B7FD0" w:rsidRPr="00CD6900">
        <w:rPr>
          <w:lang w:val="en-US" w:bidi="ar-SA"/>
        </w:rPr>
        <w:t>Sterile w</w:t>
      </w:r>
      <w:r w:rsidRPr="00CD6900">
        <w:rPr>
          <w:lang w:val="en-US" w:bidi="ar-SA"/>
        </w:rPr>
        <w:t xml:space="preserve">ater was used as the vehicle control. </w:t>
      </w:r>
    </w:p>
    <w:p w14:paraId="15D5A955" w14:textId="77777777" w:rsidR="00F43EB2" w:rsidRPr="00CD6900" w:rsidRDefault="00F43EB2" w:rsidP="00F43EB2">
      <w:pPr>
        <w:rPr>
          <w:lang w:val="en-US" w:bidi="ar-SA"/>
        </w:rPr>
      </w:pPr>
    </w:p>
    <w:p w14:paraId="40CDD91A" w14:textId="6515E0A9" w:rsidR="00F43EB2" w:rsidRPr="00CD6900" w:rsidRDefault="00F43EB2" w:rsidP="00F43EB2">
      <w:pPr>
        <w:rPr>
          <w:lang w:val="en-US" w:bidi="ar-SA"/>
        </w:rPr>
      </w:pPr>
      <w:r w:rsidRPr="00CD6900">
        <w:rPr>
          <w:lang w:val="en-AU" w:bidi="ar-SA"/>
        </w:rPr>
        <w:t>No concentration-related increases in revertant colonies were observed in cultures treated with t</w:t>
      </w:r>
      <w:r w:rsidRPr="00CD6900">
        <w:rPr>
          <w:lang w:val="en-AU" w:eastAsia="en-AU" w:bidi="ar-SA"/>
        </w:rPr>
        <w:t xml:space="preserve">he test item, </w:t>
      </w:r>
      <w:r w:rsidRPr="00CD6900">
        <w:rPr>
          <w:lang w:val="en-AU" w:bidi="ar-SA"/>
        </w:rPr>
        <w:t xml:space="preserve">with or without metabolic activation. All positive control treatments showed the anticipated increases in mutagenic activity demonstrating the </w:t>
      </w:r>
      <w:r w:rsidRPr="00CD6900">
        <w:rPr>
          <w:lang w:val="en-AU" w:bidi="ar-SA"/>
        </w:rPr>
        <w:lastRenderedPageBreak/>
        <w:t>validity of the assay.</w:t>
      </w:r>
      <w:r w:rsidRPr="00CD6900">
        <w:rPr>
          <w:lang w:val="en-US" w:bidi="ar-SA"/>
        </w:rPr>
        <w:t xml:space="preserve"> It was concluded that maltogenic alpha</w:t>
      </w:r>
      <w:r w:rsidR="00125EB8">
        <w:rPr>
          <w:lang w:val="en-US" w:bidi="ar-SA"/>
        </w:rPr>
        <w:t xml:space="preserve"> </w:t>
      </w:r>
      <w:r w:rsidRPr="00CD6900">
        <w:rPr>
          <w:lang w:val="en-US" w:bidi="ar-SA"/>
        </w:rPr>
        <w:t xml:space="preserve">amylase test item was not mutagenic under the conditions of this test. </w:t>
      </w:r>
    </w:p>
    <w:p w14:paraId="340E8F44" w14:textId="77777777" w:rsidR="00F43EB2" w:rsidRPr="00CD6900" w:rsidRDefault="00F43EB2" w:rsidP="00F43EB2">
      <w:pPr>
        <w:rPr>
          <w:highlight w:val="yellow"/>
          <w:lang w:val="en-US" w:bidi="ar-SA"/>
        </w:rPr>
      </w:pPr>
    </w:p>
    <w:p w14:paraId="2D9AEEDC" w14:textId="46952D87" w:rsidR="00F43EB2" w:rsidRPr="00CD6900" w:rsidRDefault="00F43EB2" w:rsidP="00F43EB2">
      <w:pPr>
        <w:rPr>
          <w:i/>
          <w:u w:val="single"/>
          <w:lang w:val="en-US" w:bidi="ar-SA"/>
        </w:rPr>
      </w:pPr>
      <w:r w:rsidRPr="00CD6900">
        <w:rPr>
          <w:i/>
          <w:u w:val="single"/>
          <w:lang w:val="en-US" w:bidi="ar-SA"/>
        </w:rPr>
        <w:t>In vitro mammalian chromosomal aberration test (</w:t>
      </w:r>
      <w:r w:rsidR="00CD429F" w:rsidRPr="00CD6900">
        <w:rPr>
          <w:i/>
          <w:u w:val="single"/>
          <w:lang w:val="en-US" w:bidi="ar-SA"/>
        </w:rPr>
        <w:t>INTOX Pvt. Ltd.</w:t>
      </w:r>
      <w:r w:rsidRPr="00CD6900">
        <w:rPr>
          <w:i/>
          <w:u w:val="single"/>
          <w:lang w:val="en-US" w:bidi="ar-SA"/>
        </w:rPr>
        <w:t>, 201</w:t>
      </w:r>
      <w:r w:rsidR="007F6D3C">
        <w:rPr>
          <w:i/>
          <w:u w:val="single"/>
          <w:lang w:val="en-US" w:bidi="ar-SA"/>
        </w:rPr>
        <w:t>4</w:t>
      </w:r>
      <w:r w:rsidRPr="00CD6900">
        <w:rPr>
          <w:i/>
          <w:u w:val="single"/>
          <w:lang w:val="en-US" w:bidi="ar-SA"/>
        </w:rPr>
        <w:t>). Regulatory status: GLP; conducted according to OECD test guideline 473.</w:t>
      </w:r>
    </w:p>
    <w:p w14:paraId="2BCA2884" w14:textId="77777777" w:rsidR="00F43EB2" w:rsidRPr="00CD6900" w:rsidRDefault="00F43EB2" w:rsidP="00F43EB2">
      <w:pPr>
        <w:rPr>
          <w:lang w:val="en-US" w:bidi="ar-SA"/>
        </w:rPr>
      </w:pPr>
    </w:p>
    <w:p w14:paraId="05812B72" w14:textId="67E1586A" w:rsidR="00F43EB2" w:rsidRPr="00CB60BE" w:rsidRDefault="00F43EB2" w:rsidP="00F43EB2">
      <w:pPr>
        <w:rPr>
          <w:lang w:val="en-US" w:bidi="ar-SA"/>
        </w:rPr>
      </w:pPr>
      <w:r w:rsidRPr="00E80860">
        <w:rPr>
          <w:lang w:val="en-US" w:bidi="ar-SA"/>
        </w:rPr>
        <w:t xml:space="preserve">The potential of maltogenic </w:t>
      </w:r>
      <w:r w:rsidRPr="00E80860">
        <w:rPr>
          <w:rFonts w:cs="Arial"/>
          <w:lang w:val="en-US" w:bidi="ar-SA"/>
        </w:rPr>
        <w:t>alpha</w:t>
      </w:r>
      <w:r w:rsidR="00125EB8">
        <w:rPr>
          <w:rFonts w:cs="Arial"/>
          <w:lang w:val="en-US" w:bidi="ar-SA"/>
        </w:rPr>
        <w:t xml:space="preserve"> </w:t>
      </w:r>
      <w:r w:rsidRPr="00E80860">
        <w:rPr>
          <w:rFonts w:cs="Arial"/>
          <w:lang w:val="en-US" w:bidi="ar-SA"/>
        </w:rPr>
        <w:t>amylase</w:t>
      </w:r>
      <w:r w:rsidRPr="00E80860">
        <w:rPr>
          <w:lang w:val="en-US" w:bidi="ar-SA"/>
        </w:rPr>
        <w:t xml:space="preserve"> to cause chromosomal aberrations in mammalian cells was tested using human lymphocytes isolated from peripheral blood, collected from a healthy</w:t>
      </w:r>
      <w:r w:rsidR="00E80860" w:rsidRPr="00E80860">
        <w:rPr>
          <w:lang w:val="en-US" w:bidi="ar-SA"/>
        </w:rPr>
        <w:t xml:space="preserve"> male</w:t>
      </w:r>
      <w:r w:rsidRPr="00E80860">
        <w:rPr>
          <w:lang w:val="en-US" w:bidi="ar-SA"/>
        </w:rPr>
        <w:t xml:space="preserve"> volunteer. Treatment with the maltogenic alpha</w:t>
      </w:r>
      <w:r w:rsidR="00125EB8">
        <w:rPr>
          <w:lang w:val="en-US" w:bidi="ar-SA"/>
        </w:rPr>
        <w:t xml:space="preserve"> </w:t>
      </w:r>
      <w:r w:rsidR="00E80860">
        <w:rPr>
          <w:lang w:val="en-US" w:bidi="ar-SA"/>
        </w:rPr>
        <w:t>amylase test item was either a 3</w:t>
      </w:r>
      <w:r w:rsidRPr="00E80860">
        <w:rPr>
          <w:lang w:val="en-US" w:bidi="ar-SA"/>
        </w:rPr>
        <w:t xml:space="preserve"> hour pulse exposure with or without S9, followed by a 2</w:t>
      </w:r>
      <w:r w:rsidR="00E80860">
        <w:rPr>
          <w:lang w:val="en-US" w:bidi="ar-SA"/>
        </w:rPr>
        <w:t>1</w:t>
      </w:r>
      <w:r w:rsidRPr="00E80860">
        <w:rPr>
          <w:lang w:val="en-US" w:bidi="ar-SA"/>
        </w:rPr>
        <w:t xml:space="preserve"> hour recovery; or 24 hours of continuous exposure</w:t>
      </w:r>
      <w:r w:rsidR="00E80860">
        <w:rPr>
          <w:lang w:val="en-US" w:bidi="ar-SA"/>
        </w:rPr>
        <w:t xml:space="preserve"> without </w:t>
      </w:r>
      <w:r w:rsidR="00E80860" w:rsidRPr="00E80860">
        <w:rPr>
          <w:lang w:val="en-US" w:bidi="ar-SA"/>
        </w:rPr>
        <w:t>S9</w:t>
      </w:r>
      <w:r w:rsidRPr="00E80860">
        <w:rPr>
          <w:lang w:val="en-US" w:bidi="ar-SA"/>
        </w:rPr>
        <w:t xml:space="preserve">. </w:t>
      </w:r>
      <w:r w:rsidRPr="00E80860">
        <w:rPr>
          <w:lang w:val="en-AU" w:bidi="ar-SA"/>
        </w:rPr>
        <w:t xml:space="preserve">Positive control assays were conducted in parallel using </w:t>
      </w:r>
      <w:r w:rsidR="00CB60BE" w:rsidRPr="00CB60BE">
        <w:rPr>
          <w:lang w:val="en-AU" w:bidi="ar-SA"/>
        </w:rPr>
        <w:t>methyl methanesulphonate</w:t>
      </w:r>
      <w:r w:rsidRPr="00CB60BE">
        <w:rPr>
          <w:lang w:val="en-AU" w:bidi="ar-SA"/>
        </w:rPr>
        <w:t xml:space="preserve"> in the absence of S9 and cyclophosphamide in the short-term treatment with S9.</w:t>
      </w:r>
      <w:r w:rsidR="00E80860" w:rsidRPr="00CB60BE">
        <w:rPr>
          <w:lang w:val="en-AU" w:bidi="ar-SA"/>
        </w:rPr>
        <w:t xml:space="preserve"> </w:t>
      </w:r>
      <w:r w:rsidR="00C377A8">
        <w:rPr>
          <w:lang w:val="en-AU" w:bidi="ar-SA"/>
        </w:rPr>
        <w:t>The e</w:t>
      </w:r>
      <w:r w:rsidR="00C377A8" w:rsidRPr="00CB60BE">
        <w:rPr>
          <w:lang w:val="en-AU" w:bidi="ar-SA"/>
        </w:rPr>
        <w:t xml:space="preserve">xperiment </w:t>
      </w:r>
      <w:r w:rsidR="00E80860" w:rsidRPr="00CB60BE">
        <w:rPr>
          <w:lang w:val="en-AU" w:bidi="ar-SA"/>
        </w:rPr>
        <w:t>was carried out once in duplicate.</w:t>
      </w:r>
    </w:p>
    <w:p w14:paraId="476C5F93" w14:textId="77777777" w:rsidR="00F43EB2" w:rsidRPr="00CB60BE" w:rsidRDefault="00F43EB2" w:rsidP="00F43EB2">
      <w:pPr>
        <w:rPr>
          <w:highlight w:val="yellow"/>
          <w:lang w:val="en-US" w:bidi="ar-SA"/>
        </w:rPr>
      </w:pPr>
    </w:p>
    <w:p w14:paraId="239B55DB" w14:textId="1413C8EB" w:rsidR="00F43EB2" w:rsidRPr="00CB60BE" w:rsidRDefault="00F43EB2" w:rsidP="00F43EB2">
      <w:pPr>
        <w:rPr>
          <w:lang w:val="en-US" w:bidi="ar-SA"/>
        </w:rPr>
      </w:pPr>
      <w:r w:rsidRPr="00CB60BE">
        <w:rPr>
          <w:lang w:val="en-AU" w:bidi="ar-SA"/>
        </w:rPr>
        <w:t>Dose selection experiments</w:t>
      </w:r>
      <w:r w:rsidR="00E80860" w:rsidRPr="00CB60BE">
        <w:rPr>
          <w:lang w:val="en-AU" w:bidi="ar-SA"/>
        </w:rPr>
        <w:t xml:space="preserve"> did not</w:t>
      </w:r>
      <w:r w:rsidRPr="00CB60BE">
        <w:rPr>
          <w:lang w:val="en-AU" w:bidi="ar-SA"/>
        </w:rPr>
        <w:t xml:space="preserve"> </w:t>
      </w:r>
      <w:r w:rsidR="00C377A8">
        <w:rPr>
          <w:lang w:val="en-AU" w:bidi="ar-SA"/>
        </w:rPr>
        <w:t xml:space="preserve">show </w:t>
      </w:r>
      <w:r w:rsidRPr="00CB60BE">
        <w:rPr>
          <w:lang w:val="en-AU" w:bidi="ar-SA"/>
        </w:rPr>
        <w:t xml:space="preserve">cytotoxic activity </w:t>
      </w:r>
      <w:r w:rsidR="00E80860" w:rsidRPr="00CB60BE">
        <w:rPr>
          <w:lang w:val="en-AU" w:bidi="ar-SA"/>
        </w:rPr>
        <w:t xml:space="preserve">greater than 40% at a </w:t>
      </w:r>
      <w:r w:rsidRPr="00CB60BE">
        <w:rPr>
          <w:lang w:val="en-AU" w:bidi="ar-SA"/>
        </w:rPr>
        <w:t xml:space="preserve">concentration of </w:t>
      </w:r>
      <w:r w:rsidR="00E80860" w:rsidRPr="00CB60BE">
        <w:rPr>
          <w:lang w:val="en-AU" w:bidi="ar-SA"/>
        </w:rPr>
        <w:t>5000</w:t>
      </w:r>
      <w:r w:rsidRPr="00CB60BE">
        <w:rPr>
          <w:lang w:val="en-US" w:bidi="ar-SA"/>
        </w:rPr>
        <w:t xml:space="preserve"> </w:t>
      </w:r>
      <w:r w:rsidRPr="00CB60BE">
        <w:rPr>
          <w:rFonts w:cs="Arial"/>
          <w:lang w:val="en-US" w:bidi="ar-SA"/>
        </w:rPr>
        <w:t>µ</w:t>
      </w:r>
      <w:r w:rsidRPr="00CB60BE">
        <w:rPr>
          <w:lang w:val="en-US" w:bidi="ar-SA"/>
        </w:rPr>
        <w:t xml:space="preserve">g/mL of </w:t>
      </w:r>
      <w:r w:rsidR="00E80860" w:rsidRPr="00CB60BE">
        <w:rPr>
          <w:lang w:val="en-US" w:bidi="ar-SA"/>
        </w:rPr>
        <w:t xml:space="preserve">the </w:t>
      </w:r>
      <w:r w:rsidRPr="00CB60BE">
        <w:rPr>
          <w:lang w:val="en-US" w:bidi="ar-SA"/>
        </w:rPr>
        <w:t>maltogenic alpha</w:t>
      </w:r>
      <w:r w:rsidR="00125EB8">
        <w:rPr>
          <w:lang w:val="en-US" w:bidi="ar-SA"/>
        </w:rPr>
        <w:t xml:space="preserve"> </w:t>
      </w:r>
      <w:r w:rsidRPr="00CB60BE">
        <w:rPr>
          <w:lang w:val="en-US" w:bidi="ar-SA"/>
        </w:rPr>
        <w:t xml:space="preserve">amylase </w:t>
      </w:r>
      <w:r w:rsidR="00E80860" w:rsidRPr="00CB60BE">
        <w:rPr>
          <w:lang w:val="en-US" w:bidi="ar-SA"/>
        </w:rPr>
        <w:t xml:space="preserve">test item in any of the test conditions. Based on this observation, the dose range of 500-5000 </w:t>
      </w:r>
      <w:r w:rsidR="00E80860" w:rsidRPr="00CB60BE">
        <w:rPr>
          <w:rFonts w:cs="Arial"/>
          <w:lang w:val="en-US" w:bidi="ar-SA"/>
        </w:rPr>
        <w:t>µ</w:t>
      </w:r>
      <w:r w:rsidR="00E80860" w:rsidRPr="00CB60BE">
        <w:rPr>
          <w:lang w:val="en-US" w:bidi="ar-SA"/>
        </w:rPr>
        <w:t xml:space="preserve">g/mL was examined for all test conditions. </w:t>
      </w:r>
    </w:p>
    <w:p w14:paraId="19398907" w14:textId="77777777" w:rsidR="00F43EB2" w:rsidRPr="00CB60BE" w:rsidRDefault="00F43EB2" w:rsidP="00F43EB2">
      <w:pPr>
        <w:rPr>
          <w:lang w:val="en-US" w:bidi="ar-SA"/>
        </w:rPr>
      </w:pPr>
    </w:p>
    <w:p w14:paraId="4F4A9C8C" w14:textId="59EC5357" w:rsidR="00F43EB2" w:rsidRDefault="00F43EB2" w:rsidP="00F43EB2">
      <w:pPr>
        <w:rPr>
          <w:lang w:val="en-US" w:bidi="ar-SA"/>
        </w:rPr>
      </w:pPr>
      <w:r w:rsidRPr="00CB60BE">
        <w:rPr>
          <w:lang w:val="en-US" w:bidi="ar-SA"/>
        </w:rPr>
        <w:t>There were no treatment related increases in chromosomal aberration</w:t>
      </w:r>
      <w:r w:rsidR="00E911A8">
        <w:rPr>
          <w:lang w:val="en-US" w:bidi="ar-SA"/>
        </w:rPr>
        <w:t>s</w:t>
      </w:r>
      <w:r w:rsidRPr="00CB60BE">
        <w:rPr>
          <w:lang w:val="en-US" w:bidi="ar-SA"/>
        </w:rPr>
        <w:t xml:space="preserve"> observed in peripheral blood lymphocytes following exposure to the maltogenic alpha</w:t>
      </w:r>
      <w:r w:rsidR="00125EB8">
        <w:rPr>
          <w:lang w:val="en-US" w:bidi="ar-SA"/>
        </w:rPr>
        <w:t xml:space="preserve"> </w:t>
      </w:r>
      <w:r w:rsidRPr="00CB60BE">
        <w:rPr>
          <w:lang w:val="en-US" w:bidi="ar-SA"/>
        </w:rPr>
        <w:t>amylase test item, relative to the vehicle controls, under any of the conditions tested. The positive controls demonstrated a statistically significant increase in chromosomal aberration, validating the sensitivity of the experimental methodology. It was concluded that maltogenic alpha</w:t>
      </w:r>
      <w:r w:rsidR="00125EB8">
        <w:rPr>
          <w:lang w:val="en-US" w:bidi="ar-SA"/>
        </w:rPr>
        <w:t xml:space="preserve"> </w:t>
      </w:r>
      <w:r w:rsidRPr="00CB60BE">
        <w:rPr>
          <w:lang w:val="en-US" w:bidi="ar-SA"/>
        </w:rPr>
        <w:t>amylase did not cause chromosome aberrations in peripheral blood lymphocytes, under the conditions of the study.</w:t>
      </w:r>
    </w:p>
    <w:p w14:paraId="1D8C53E0" w14:textId="25517ABD" w:rsidR="003A4EF2" w:rsidRDefault="00CD429F" w:rsidP="003A4EF2">
      <w:pPr>
        <w:pStyle w:val="Heading3"/>
      </w:pPr>
      <w:bookmarkStart w:id="147" w:name="_Toc67559447"/>
      <w:bookmarkStart w:id="148" w:name="_Toc85204778"/>
      <w:bookmarkStart w:id="149" w:name="_Toc85211340"/>
      <w:bookmarkStart w:id="150" w:name="_Toc87259315"/>
      <w:r w:rsidRPr="00DC06C8">
        <w:t>3.</w:t>
      </w:r>
      <w:r>
        <w:t>3</w:t>
      </w:r>
      <w:r w:rsidRPr="00DC06C8">
        <w:t>.</w:t>
      </w:r>
      <w:r w:rsidR="00477F42">
        <w:t>4</w:t>
      </w:r>
      <w:r w:rsidRPr="00DC06C8">
        <w:tab/>
        <w:t xml:space="preserve">Potential for </w:t>
      </w:r>
      <w:bookmarkEnd w:id="147"/>
      <w:r w:rsidR="00845D21">
        <w:t>toxicity arising from manufacture</w:t>
      </w:r>
      <w:bookmarkEnd w:id="148"/>
      <w:bookmarkEnd w:id="149"/>
      <w:bookmarkEnd w:id="150"/>
    </w:p>
    <w:p w14:paraId="3A99845E" w14:textId="0DFB678A" w:rsidR="00975335" w:rsidRDefault="00845D21" w:rsidP="00845D21">
      <w:pPr>
        <w:rPr>
          <w:lang w:eastAsia="en-AU" w:bidi="ar-SA"/>
        </w:rPr>
      </w:pPr>
      <w:r>
        <w:rPr>
          <w:lang w:eastAsia="en-AU" w:bidi="ar-SA"/>
        </w:rPr>
        <w:t>Enzyme expression</w:t>
      </w:r>
      <w:r w:rsidR="004A4011">
        <w:rPr>
          <w:lang w:eastAsia="en-AU" w:bidi="ar-SA"/>
        </w:rPr>
        <w:t xml:space="preserve"> during fermentation i</w:t>
      </w:r>
      <w:r>
        <w:rPr>
          <w:lang w:eastAsia="en-AU" w:bidi="ar-SA"/>
        </w:rPr>
        <w:t xml:space="preserve">s induced </w:t>
      </w:r>
      <w:r w:rsidR="004A4011">
        <w:rPr>
          <w:lang w:eastAsia="en-AU" w:bidi="ar-SA"/>
        </w:rPr>
        <w:t xml:space="preserve">by </w:t>
      </w:r>
      <w:r>
        <w:rPr>
          <w:lang w:eastAsia="en-AU" w:bidi="ar-SA"/>
        </w:rPr>
        <w:t>the addition</w:t>
      </w:r>
      <w:r w:rsidR="004A4011">
        <w:rPr>
          <w:lang w:eastAsia="en-AU" w:bidi="ar-SA"/>
        </w:rPr>
        <w:t xml:space="preserve"> of IPTG,</w:t>
      </w:r>
      <w:r>
        <w:rPr>
          <w:lang w:eastAsia="en-AU" w:bidi="ar-SA"/>
        </w:rPr>
        <w:t xml:space="preserve"> a </w:t>
      </w:r>
      <w:r w:rsidR="00073A98">
        <w:rPr>
          <w:lang w:eastAsia="en-AU" w:bidi="ar-SA"/>
        </w:rPr>
        <w:t>metabolically stable</w:t>
      </w:r>
      <w:r>
        <w:rPr>
          <w:lang w:eastAsia="en-AU" w:bidi="ar-SA"/>
        </w:rPr>
        <w:t xml:space="preserve"> </w:t>
      </w:r>
      <w:r w:rsidR="004A4011">
        <w:rPr>
          <w:lang w:eastAsia="en-AU" w:bidi="ar-SA"/>
        </w:rPr>
        <w:t>analogue of beta-</w:t>
      </w:r>
      <w:r w:rsidR="00DD79D8">
        <w:rPr>
          <w:lang w:eastAsia="en-AU" w:bidi="ar-SA"/>
        </w:rPr>
        <w:t>D-</w:t>
      </w:r>
      <w:r w:rsidR="004A4011">
        <w:rPr>
          <w:lang w:eastAsia="en-AU" w:bidi="ar-SA"/>
        </w:rPr>
        <w:t xml:space="preserve">galactose. </w:t>
      </w:r>
      <w:r w:rsidR="00E911A8">
        <w:rPr>
          <w:lang w:eastAsia="en-AU" w:bidi="ar-SA"/>
        </w:rPr>
        <w:t xml:space="preserve">Levels of IPTG in the enzyme preparation are expected to be low as a result of ultra- and diafiltration steps applied during processing. Estimation of the likely exposures to IPTG were below the threshold of toxicological concern. The enzyme preparation was not genotoxic and no signs of toxicity were seen in a 90-day rat study. On that basis it is concluded that </w:t>
      </w:r>
      <w:r w:rsidR="009362D5">
        <w:rPr>
          <w:lang w:eastAsia="en-AU" w:bidi="ar-SA"/>
        </w:rPr>
        <w:t xml:space="preserve">IPTG used </w:t>
      </w:r>
      <w:r w:rsidR="009362D5">
        <w:rPr>
          <w:lang w:eastAsia="en-AU" w:bidi="ar-SA"/>
        </w:rPr>
        <w:lastRenderedPageBreak/>
        <w:t xml:space="preserve">in the </w:t>
      </w:r>
      <w:r w:rsidR="004E3AF9">
        <w:rPr>
          <w:lang w:eastAsia="en-AU" w:bidi="ar-SA"/>
        </w:rPr>
        <w:t>manufacture of maltogenic alpha</w:t>
      </w:r>
      <w:r w:rsidR="00125EB8">
        <w:rPr>
          <w:lang w:eastAsia="en-AU" w:bidi="ar-SA"/>
        </w:rPr>
        <w:t xml:space="preserve"> </w:t>
      </w:r>
      <w:r w:rsidR="004E3AF9">
        <w:rPr>
          <w:lang w:eastAsia="en-AU" w:bidi="ar-SA"/>
        </w:rPr>
        <w:t xml:space="preserve">amylase </w:t>
      </w:r>
      <w:r w:rsidR="00073A98">
        <w:rPr>
          <w:lang w:eastAsia="en-AU" w:bidi="ar-SA"/>
        </w:rPr>
        <w:t>does not raise safe</w:t>
      </w:r>
      <w:r w:rsidR="00FF63C4">
        <w:rPr>
          <w:lang w:eastAsia="en-AU" w:bidi="ar-SA"/>
        </w:rPr>
        <w:t>ty concerns</w:t>
      </w:r>
      <w:r w:rsidR="009362D5">
        <w:rPr>
          <w:lang w:eastAsia="en-AU" w:bidi="ar-SA"/>
        </w:rPr>
        <w:t>.</w:t>
      </w:r>
      <w:r w:rsidR="00FF63C4">
        <w:rPr>
          <w:lang w:eastAsia="en-AU" w:bidi="ar-SA"/>
        </w:rPr>
        <w:t xml:space="preserve"> </w:t>
      </w:r>
    </w:p>
    <w:p w14:paraId="76AE0000" w14:textId="5C058D31" w:rsidR="00845D21" w:rsidRDefault="00845D21" w:rsidP="00845D21">
      <w:pPr>
        <w:pStyle w:val="Heading3"/>
      </w:pPr>
      <w:bookmarkStart w:id="151" w:name="_Toc85204779"/>
      <w:bookmarkStart w:id="152" w:name="_Toc85211341"/>
      <w:bookmarkStart w:id="153" w:name="_Toc87259316"/>
      <w:r w:rsidRPr="00DC06C8">
        <w:t>3.</w:t>
      </w:r>
      <w:r>
        <w:t>3</w:t>
      </w:r>
      <w:r w:rsidRPr="00DC06C8">
        <w:t>.</w:t>
      </w:r>
      <w:r>
        <w:t>5</w:t>
      </w:r>
      <w:r w:rsidRPr="00DC06C8">
        <w:tab/>
        <w:t>Potential for allergenicity</w:t>
      </w:r>
      <w:bookmarkEnd w:id="151"/>
      <w:bookmarkEnd w:id="152"/>
      <w:bookmarkEnd w:id="153"/>
      <w:r w:rsidRPr="00DC06C8">
        <w:t xml:space="preserve"> </w:t>
      </w:r>
    </w:p>
    <w:p w14:paraId="676A33F9" w14:textId="5390A533" w:rsidR="003A4EF2" w:rsidRPr="00267F59" w:rsidRDefault="003A4EF2" w:rsidP="003A4EF2">
      <w:pPr>
        <w:rPr>
          <w:lang w:eastAsia="en-AU" w:bidi="ar-SA"/>
        </w:rPr>
      </w:pPr>
      <w:r w:rsidRPr="00F96C4B">
        <w:rPr>
          <w:lang w:bidi="ar-SA"/>
        </w:rPr>
        <w:t xml:space="preserve">A FASTA search was performed using the amino acid sequence </w:t>
      </w:r>
      <w:r w:rsidRPr="008B1194">
        <w:rPr>
          <w:lang w:bidi="ar-SA"/>
        </w:rPr>
        <w:t xml:space="preserve">of </w:t>
      </w:r>
      <w:r w:rsidRPr="008B1194">
        <w:rPr>
          <w:i/>
          <w:lang w:bidi="ar-SA"/>
        </w:rPr>
        <w:t>G. stearothermophilus</w:t>
      </w:r>
      <w:r w:rsidRPr="008B1194">
        <w:rPr>
          <w:lang w:bidi="ar-SA"/>
        </w:rPr>
        <w:t xml:space="preserve"> maltogenic </w:t>
      </w:r>
      <w:r w:rsidRPr="008B1194">
        <w:rPr>
          <w:rFonts w:cs="Arial"/>
          <w:lang w:bidi="ar-SA"/>
        </w:rPr>
        <w:t>alpha</w:t>
      </w:r>
      <w:r w:rsidR="00125EB8">
        <w:rPr>
          <w:rFonts w:cs="Arial"/>
          <w:lang w:bidi="ar-SA"/>
        </w:rPr>
        <w:t xml:space="preserve"> </w:t>
      </w:r>
      <w:r w:rsidRPr="008B1194">
        <w:rPr>
          <w:rFonts w:cs="Arial"/>
          <w:lang w:bidi="ar-SA"/>
        </w:rPr>
        <w:t>amylase</w:t>
      </w:r>
      <w:r w:rsidRPr="008B1194">
        <w:rPr>
          <w:lang w:bidi="ar-SA"/>
        </w:rPr>
        <w:t xml:space="preserve"> using the </w:t>
      </w:r>
      <w:hyperlink r:id="rId23" w:history="1">
        <w:r w:rsidRPr="008B1194">
          <w:rPr>
            <w:rStyle w:val="Hyperlink"/>
            <w:color w:val="auto"/>
            <w:lang w:bidi="ar-SA"/>
          </w:rPr>
          <w:t>AllergenOnline</w:t>
        </w:r>
      </w:hyperlink>
      <w:r w:rsidRPr="008B1194">
        <w:rPr>
          <w:rStyle w:val="FootnoteReference"/>
          <w:lang w:bidi="ar-SA"/>
        </w:rPr>
        <w:footnoteReference w:id="15"/>
      </w:r>
      <w:r w:rsidRPr="008B1194">
        <w:rPr>
          <w:lang w:bidi="ar-SA"/>
        </w:rPr>
        <w:t xml:space="preserve"> database (</w:t>
      </w:r>
      <w:r w:rsidR="008B1194" w:rsidRPr="008B1194">
        <w:rPr>
          <w:lang w:val="en-AU" w:eastAsia="en-AU"/>
        </w:rPr>
        <w:t>queried November 2014</w:t>
      </w:r>
      <w:r w:rsidRPr="008B1194">
        <w:rPr>
          <w:lang w:val="en-AU" w:eastAsia="en-AU"/>
        </w:rPr>
        <w:t>)</w:t>
      </w:r>
      <w:r w:rsidRPr="00F96C4B">
        <w:rPr>
          <w:lang w:eastAsia="en-AU" w:bidi="ar-SA"/>
        </w:rPr>
        <w:t xml:space="preserve"> </w:t>
      </w:r>
      <w:r w:rsidRPr="00267F59">
        <w:rPr>
          <w:lang w:eastAsia="en-AU"/>
        </w:rPr>
        <w:t>using t</w:t>
      </w:r>
      <w:r w:rsidRPr="00267F59">
        <w:rPr>
          <w:lang w:eastAsia="en-AU" w:bidi="ar-SA"/>
        </w:rPr>
        <w:t xml:space="preserve">hree sequence alignments: an 80 mer sliding window (&gt;35% homology), the full length protein (more than 50% homology), and an 8 mer sliding window (100% homology). </w:t>
      </w:r>
    </w:p>
    <w:p w14:paraId="7058BD6F" w14:textId="77777777" w:rsidR="003A4EF2" w:rsidRPr="00267F59" w:rsidRDefault="003A4EF2" w:rsidP="003A4EF2">
      <w:pPr>
        <w:rPr>
          <w:lang w:eastAsia="en-AU" w:bidi="ar-SA"/>
        </w:rPr>
      </w:pPr>
    </w:p>
    <w:p w14:paraId="177F6EB5" w14:textId="77777777" w:rsidR="00267F59" w:rsidRPr="00267F59" w:rsidRDefault="003A4EF2" w:rsidP="00CF03D6">
      <w:pPr>
        <w:rPr>
          <w:lang w:eastAsia="en-AU"/>
        </w:rPr>
      </w:pPr>
      <w:r w:rsidRPr="00267F59">
        <w:rPr>
          <w:lang w:eastAsia="en-AU"/>
        </w:rPr>
        <w:t>The applicant supplied bioinformatics search</w:t>
      </w:r>
      <w:r w:rsidR="00EF4B22" w:rsidRPr="00267F59">
        <w:rPr>
          <w:lang w:eastAsia="en-AU"/>
        </w:rPr>
        <w:t xml:space="preserve"> </w:t>
      </w:r>
      <w:r w:rsidRPr="00267F59">
        <w:rPr>
          <w:lang w:eastAsia="en-AU"/>
        </w:rPr>
        <w:t xml:space="preserve">identified taka-amylase A (Asp o 21) from </w:t>
      </w:r>
      <w:r w:rsidRPr="00267F59">
        <w:rPr>
          <w:i/>
          <w:lang w:eastAsia="en-AU"/>
        </w:rPr>
        <w:t>Aspergillus oryzae</w:t>
      </w:r>
      <w:r w:rsidRPr="00267F59">
        <w:rPr>
          <w:lang w:eastAsia="en-AU"/>
        </w:rPr>
        <w:t xml:space="preserve"> as a known </w:t>
      </w:r>
      <w:r w:rsidRPr="00267F59">
        <w:t>respiratory</w:t>
      </w:r>
      <w:r w:rsidRPr="00267F59">
        <w:rPr>
          <w:lang w:eastAsia="en-AU"/>
        </w:rPr>
        <w:t xml:space="preserve"> allergen with a greater than 35% sequence identity using an 80-amino acid sliding window. </w:t>
      </w:r>
      <w:r w:rsidR="006E4B5D" w:rsidRPr="00267F59">
        <w:rPr>
          <w:lang w:eastAsia="en-AU"/>
        </w:rPr>
        <w:t xml:space="preserve">Asp 0 21 is </w:t>
      </w:r>
      <w:r w:rsidR="00C16DB8" w:rsidRPr="00267F59">
        <w:rPr>
          <w:lang w:eastAsia="en-AU"/>
        </w:rPr>
        <w:t xml:space="preserve">a respiratory allergen and </w:t>
      </w:r>
      <w:r w:rsidR="006E4B5D" w:rsidRPr="00267F59">
        <w:rPr>
          <w:lang w:eastAsia="en-AU"/>
        </w:rPr>
        <w:t>not</w:t>
      </w:r>
      <w:r w:rsidR="00CF03D6" w:rsidRPr="00267F59">
        <w:rPr>
          <w:lang w:eastAsia="en-AU"/>
        </w:rPr>
        <w:t xml:space="preserve"> recognised</w:t>
      </w:r>
      <w:r w:rsidR="00C16DB8" w:rsidRPr="00267F59">
        <w:rPr>
          <w:lang w:eastAsia="en-AU"/>
        </w:rPr>
        <w:t xml:space="preserve"> as a</w:t>
      </w:r>
      <w:r w:rsidR="00CF03D6" w:rsidRPr="00267F59">
        <w:rPr>
          <w:lang w:eastAsia="en-AU"/>
        </w:rPr>
        <w:t xml:space="preserve"> food allergen</w:t>
      </w:r>
      <w:r w:rsidR="00CF03D6" w:rsidRPr="00267F59">
        <w:rPr>
          <w:rStyle w:val="FootnoteReference"/>
          <w:lang w:eastAsia="en-AU"/>
        </w:rPr>
        <w:footnoteReference w:id="16"/>
      </w:r>
      <w:r w:rsidR="00CF03D6" w:rsidRPr="00267F59">
        <w:rPr>
          <w:lang w:eastAsia="en-AU"/>
        </w:rPr>
        <w:t xml:space="preserve">. </w:t>
      </w:r>
      <w:r w:rsidR="00EF4B22" w:rsidRPr="00267F59">
        <w:rPr>
          <w:lang w:eastAsia="en-AU"/>
        </w:rPr>
        <w:t xml:space="preserve">The applicant also </w:t>
      </w:r>
      <w:r w:rsidR="00245E52" w:rsidRPr="00267F59">
        <w:rPr>
          <w:lang w:eastAsia="en-AU"/>
        </w:rPr>
        <w:t>provided a recent bioinformatic</w:t>
      </w:r>
      <w:r w:rsidR="00EF4B22" w:rsidRPr="00267F59">
        <w:rPr>
          <w:lang w:eastAsia="en-AU"/>
        </w:rPr>
        <w:t xml:space="preserve"> search (October 2021), which identified </w:t>
      </w:r>
      <w:r w:rsidR="00267F59" w:rsidRPr="00267F59">
        <w:rPr>
          <w:lang w:eastAsia="en-AU"/>
        </w:rPr>
        <w:t xml:space="preserve">a number of </w:t>
      </w:r>
      <w:r w:rsidR="00EF4B22" w:rsidRPr="00267F59">
        <w:rPr>
          <w:lang w:eastAsia="en-AU"/>
        </w:rPr>
        <w:t xml:space="preserve">additional </w:t>
      </w:r>
      <w:r w:rsidR="00245E52" w:rsidRPr="00267F59">
        <w:rPr>
          <w:lang w:eastAsia="en-AU"/>
        </w:rPr>
        <w:t xml:space="preserve">respiratory </w:t>
      </w:r>
      <w:r w:rsidR="00EF4B22" w:rsidRPr="00267F59">
        <w:rPr>
          <w:lang w:eastAsia="en-AU"/>
        </w:rPr>
        <w:t xml:space="preserve">allergens. None were recognised food allergens. </w:t>
      </w:r>
    </w:p>
    <w:p w14:paraId="1E2BD4B9" w14:textId="77777777" w:rsidR="00267F59" w:rsidRPr="00267F59" w:rsidRDefault="00267F59" w:rsidP="00CF03D6">
      <w:pPr>
        <w:rPr>
          <w:lang w:eastAsia="en-AU"/>
        </w:rPr>
      </w:pPr>
    </w:p>
    <w:p w14:paraId="298E0C67" w14:textId="6339096F" w:rsidR="006E4B5D" w:rsidRPr="00267F59" w:rsidRDefault="00CF03D6" w:rsidP="00CF03D6">
      <w:pPr>
        <w:rPr>
          <w:lang w:eastAsia="en-AU"/>
        </w:rPr>
      </w:pPr>
      <w:r w:rsidRPr="00267F59">
        <w:rPr>
          <w:lang w:eastAsia="en-AU"/>
        </w:rPr>
        <w:t>Respiratory sensitisation of occupationally exposed individuals to some food enzyme processing aids, such as alpha</w:t>
      </w:r>
      <w:r w:rsidR="00826A24" w:rsidRPr="00267F59">
        <w:rPr>
          <w:lang w:eastAsia="en-AU"/>
        </w:rPr>
        <w:t>-</w:t>
      </w:r>
      <w:r w:rsidRPr="00267F59">
        <w:rPr>
          <w:lang w:eastAsia="en-AU"/>
        </w:rPr>
        <w:t xml:space="preserve">amylase and other glycoside hydrolase enzymes has been reported (Baur &amp; Posch, 1998). However, food enzyme processing aids that are </w:t>
      </w:r>
      <w:r w:rsidRPr="00267F59">
        <w:rPr>
          <w:lang w:eastAsia="en-AU" w:bidi="ar-SA"/>
        </w:rPr>
        <w:t xml:space="preserve">respiratory allergens are not usually food allergens (Poulsen 2004, Bindslev-Jensen et al. 2006), and there are no reports </w:t>
      </w:r>
      <w:r w:rsidRPr="00267F59">
        <w:rPr>
          <w:lang w:eastAsia="en-AU"/>
        </w:rPr>
        <w:t xml:space="preserve">of sensitisation to maltogenic </w:t>
      </w:r>
      <w:r w:rsidRPr="00267F59">
        <w:rPr>
          <w:rFonts w:cs="Arial"/>
          <w:lang w:eastAsia="en-AU"/>
        </w:rPr>
        <w:t>alpha</w:t>
      </w:r>
      <w:r w:rsidR="001D62DB" w:rsidRPr="00267F59">
        <w:rPr>
          <w:rFonts w:cs="Arial"/>
          <w:lang w:eastAsia="en-AU"/>
        </w:rPr>
        <w:t xml:space="preserve"> </w:t>
      </w:r>
      <w:r w:rsidRPr="00267F59">
        <w:rPr>
          <w:rFonts w:cs="Arial"/>
          <w:lang w:eastAsia="en-AU"/>
        </w:rPr>
        <w:t>amylase</w:t>
      </w:r>
      <w:r w:rsidRPr="00267F59">
        <w:rPr>
          <w:lang w:eastAsia="en-AU"/>
        </w:rPr>
        <w:t>s in the scientific literature.</w:t>
      </w:r>
      <w:r w:rsidR="006E4B5D" w:rsidRPr="00267F59">
        <w:rPr>
          <w:lang w:eastAsia="en-AU"/>
        </w:rPr>
        <w:t xml:space="preserve"> </w:t>
      </w:r>
    </w:p>
    <w:p w14:paraId="65D2AF24" w14:textId="2E50D362" w:rsidR="00C16DB8" w:rsidRPr="00267F59" w:rsidRDefault="00C16DB8" w:rsidP="00CF03D6">
      <w:pPr>
        <w:rPr>
          <w:lang w:eastAsia="en-AU"/>
        </w:rPr>
      </w:pPr>
    </w:p>
    <w:p w14:paraId="6DCA105E" w14:textId="5AF001EA" w:rsidR="00C16DB8" w:rsidRPr="00267F59" w:rsidRDefault="00C16DB8" w:rsidP="00CF03D6">
      <w:pPr>
        <w:rPr>
          <w:lang w:eastAsia="en-AU"/>
        </w:rPr>
      </w:pPr>
      <w:r w:rsidRPr="00267F59">
        <w:rPr>
          <w:lang w:eastAsia="en-AU"/>
        </w:rPr>
        <w:t xml:space="preserve">The applicant supplied the results </w:t>
      </w:r>
      <w:r w:rsidRPr="00267F59">
        <w:rPr>
          <w:rFonts w:cs="Arial"/>
          <w:szCs w:val="22"/>
          <w:lang w:eastAsia="en-AU"/>
        </w:rPr>
        <w:t>of a</w:t>
      </w:r>
      <w:r w:rsidR="00245E52" w:rsidRPr="00267F59">
        <w:rPr>
          <w:rFonts w:cs="Arial"/>
          <w:szCs w:val="22"/>
          <w:lang w:eastAsia="en-AU"/>
        </w:rPr>
        <w:t xml:space="preserve">n </w:t>
      </w:r>
      <w:r w:rsidR="00245E52" w:rsidRPr="00267F59">
        <w:rPr>
          <w:rFonts w:cs="Arial"/>
          <w:i/>
          <w:szCs w:val="22"/>
          <w:lang w:eastAsia="en-AU"/>
        </w:rPr>
        <w:t>in vitro</w:t>
      </w:r>
      <w:r w:rsidRPr="00267F59">
        <w:rPr>
          <w:rFonts w:cs="Arial"/>
          <w:szCs w:val="22"/>
          <w:lang w:eastAsia="en-AU"/>
        </w:rPr>
        <w:t xml:space="preserve"> pepsin digestion</w:t>
      </w:r>
      <w:r w:rsidRPr="00267F59">
        <w:rPr>
          <w:lang w:eastAsia="en-AU"/>
        </w:rPr>
        <w:t xml:space="preserve"> assay</w:t>
      </w:r>
      <w:r w:rsidR="00245E52" w:rsidRPr="00267F59">
        <w:rPr>
          <w:lang w:eastAsia="en-AU"/>
        </w:rPr>
        <w:t xml:space="preserve"> showing that </w:t>
      </w:r>
      <w:r w:rsidRPr="00267F59">
        <w:rPr>
          <w:lang w:eastAsia="en-AU"/>
        </w:rPr>
        <w:t>maltogenic alpha</w:t>
      </w:r>
      <w:r w:rsidR="001D62DB" w:rsidRPr="00267F59">
        <w:rPr>
          <w:lang w:eastAsia="en-AU"/>
        </w:rPr>
        <w:t xml:space="preserve"> </w:t>
      </w:r>
      <w:r w:rsidRPr="00267F59">
        <w:rPr>
          <w:lang w:eastAsia="en-AU"/>
        </w:rPr>
        <w:t>amylase was liable to proteolysis</w:t>
      </w:r>
      <w:r w:rsidR="00245E52" w:rsidRPr="00267F59">
        <w:rPr>
          <w:lang w:eastAsia="en-AU"/>
        </w:rPr>
        <w:t xml:space="preserve"> within 30 seconds</w:t>
      </w:r>
      <w:r w:rsidR="004E3AF9" w:rsidRPr="00267F59">
        <w:rPr>
          <w:lang w:eastAsia="en-AU"/>
        </w:rPr>
        <w:t>.</w:t>
      </w:r>
      <w:r w:rsidR="00245E52" w:rsidRPr="00267F59">
        <w:rPr>
          <w:lang w:eastAsia="en-AU"/>
        </w:rPr>
        <w:t xml:space="preserve"> </w:t>
      </w:r>
      <w:r w:rsidR="00CF2113" w:rsidRPr="00267F59">
        <w:rPr>
          <w:lang w:eastAsia="en-AU"/>
        </w:rPr>
        <w:t xml:space="preserve">Enzymes readily hydrolysed by proteolysis are considered to have a lower potential of becoming food allergens (FAO/WHO 2009a). </w:t>
      </w:r>
    </w:p>
    <w:p w14:paraId="349453C3" w14:textId="36E5BEC2" w:rsidR="003A4EF2" w:rsidRPr="00267F59" w:rsidRDefault="003A4EF2" w:rsidP="003A4EF2">
      <w:pPr>
        <w:rPr>
          <w:lang w:eastAsia="en-AU"/>
        </w:rPr>
      </w:pPr>
    </w:p>
    <w:p w14:paraId="26D3D818" w14:textId="4B2BC9B8" w:rsidR="003A4EF2" w:rsidRPr="00267F59" w:rsidRDefault="00C16DB8" w:rsidP="003A4EF2">
      <w:pPr>
        <w:rPr>
          <w:lang w:eastAsia="en-AU" w:bidi="ar-SA"/>
        </w:rPr>
      </w:pPr>
      <w:r w:rsidRPr="00267F59">
        <w:rPr>
          <w:lang w:eastAsia="en-AU" w:bidi="ar-SA"/>
        </w:rPr>
        <w:t>It is concluded that the presence of maltogenic alpha</w:t>
      </w:r>
      <w:r w:rsidR="001D62DB" w:rsidRPr="00267F59">
        <w:rPr>
          <w:lang w:eastAsia="en-AU" w:bidi="ar-SA"/>
        </w:rPr>
        <w:t xml:space="preserve"> </w:t>
      </w:r>
      <w:r w:rsidRPr="00267F59">
        <w:rPr>
          <w:lang w:eastAsia="en-AU" w:bidi="ar-SA"/>
        </w:rPr>
        <w:t xml:space="preserve">amylase produced using modified </w:t>
      </w:r>
      <w:r w:rsidRPr="00267F59">
        <w:rPr>
          <w:i/>
          <w:lang w:eastAsia="en-AU" w:bidi="ar-SA"/>
        </w:rPr>
        <w:t>E.</w:t>
      </w:r>
      <w:r w:rsidR="00826A24" w:rsidRPr="00267F59">
        <w:rPr>
          <w:i/>
          <w:lang w:eastAsia="en-AU" w:bidi="ar-SA"/>
        </w:rPr>
        <w:t> </w:t>
      </w:r>
      <w:r w:rsidRPr="00267F59">
        <w:rPr>
          <w:i/>
          <w:lang w:eastAsia="en-AU" w:bidi="ar-SA"/>
        </w:rPr>
        <w:t>coli</w:t>
      </w:r>
      <w:r w:rsidRPr="00267F59">
        <w:rPr>
          <w:lang w:eastAsia="en-AU" w:bidi="ar-SA"/>
        </w:rPr>
        <w:t xml:space="preserve"> in food is unlikely to pose an allergenicity concern to consumers.</w:t>
      </w:r>
    </w:p>
    <w:p w14:paraId="246C8F23" w14:textId="5074EF29" w:rsidR="00CD429F" w:rsidRPr="00267F59" w:rsidRDefault="00CD429F" w:rsidP="00477F42">
      <w:pPr>
        <w:pStyle w:val="Heading3"/>
      </w:pPr>
      <w:bookmarkStart w:id="154" w:name="_Toc67559448"/>
      <w:bookmarkStart w:id="155" w:name="_Toc85204780"/>
      <w:bookmarkStart w:id="156" w:name="_Toc85211342"/>
      <w:bookmarkStart w:id="157" w:name="_Toc87259317"/>
      <w:r w:rsidRPr="00267F59">
        <w:lastRenderedPageBreak/>
        <w:t>3.3</w:t>
      </w:r>
      <w:r w:rsidR="00477F42" w:rsidRPr="00267F59">
        <w:t>.</w:t>
      </w:r>
      <w:r w:rsidR="00845D21" w:rsidRPr="00267F59">
        <w:t>6</w:t>
      </w:r>
      <w:r w:rsidRPr="00267F59">
        <w:tab/>
        <w:t>Assessments by other regulatory agencies</w:t>
      </w:r>
      <w:bookmarkEnd w:id="154"/>
      <w:bookmarkEnd w:id="155"/>
      <w:bookmarkEnd w:id="156"/>
      <w:bookmarkEnd w:id="157"/>
    </w:p>
    <w:p w14:paraId="6A861FB0" w14:textId="6BA71605" w:rsidR="00C247BE" w:rsidRPr="00267F59" w:rsidRDefault="000C669D" w:rsidP="00245E52">
      <w:pPr>
        <w:rPr>
          <w:lang w:eastAsia="en-AU" w:bidi="ar-SA"/>
        </w:rPr>
      </w:pPr>
      <w:r w:rsidRPr="00267F59">
        <w:rPr>
          <w:lang w:eastAsia="en-AU" w:bidi="ar-SA"/>
        </w:rPr>
        <w:t>A</w:t>
      </w:r>
      <w:r w:rsidR="008439FA" w:rsidRPr="00267F59">
        <w:rPr>
          <w:lang w:eastAsia="en-AU" w:bidi="ar-SA"/>
        </w:rPr>
        <w:t>n</w:t>
      </w:r>
      <w:r w:rsidRPr="00267F59">
        <w:rPr>
          <w:lang w:eastAsia="en-AU" w:bidi="ar-SA"/>
        </w:rPr>
        <w:t xml:space="preserve"> EFSA safety evaluation on maltogenic alpha</w:t>
      </w:r>
      <w:r w:rsidR="001D62DB" w:rsidRPr="00267F59">
        <w:rPr>
          <w:lang w:eastAsia="en-AU" w:bidi="ar-SA"/>
        </w:rPr>
        <w:t xml:space="preserve"> </w:t>
      </w:r>
      <w:r w:rsidRPr="00267F59">
        <w:rPr>
          <w:lang w:eastAsia="en-AU" w:bidi="ar-SA"/>
        </w:rPr>
        <w:t xml:space="preserve">amylase produced using </w:t>
      </w:r>
      <w:r w:rsidRPr="00267F59">
        <w:rPr>
          <w:i/>
          <w:lang w:eastAsia="en-AU" w:bidi="ar-SA"/>
        </w:rPr>
        <w:t xml:space="preserve">E. coli </w:t>
      </w:r>
      <w:r w:rsidRPr="00267F59">
        <w:rPr>
          <w:lang w:eastAsia="en-AU" w:bidi="ar-SA"/>
        </w:rPr>
        <w:t>BLASC was provided. EFSA concluded that</w:t>
      </w:r>
      <w:r w:rsidR="00F01415" w:rsidRPr="00267F59">
        <w:rPr>
          <w:lang w:eastAsia="en-AU" w:bidi="ar-SA"/>
        </w:rPr>
        <w:t>, under the intended conditions of use,</w:t>
      </w:r>
      <w:r w:rsidRPr="00267F59">
        <w:rPr>
          <w:lang w:eastAsia="en-AU" w:bidi="ar-SA"/>
        </w:rPr>
        <w:t xml:space="preserve"> the evaluated food enzyme does not raise safety concerns </w:t>
      </w:r>
      <w:r w:rsidR="00F01415" w:rsidRPr="00267F59">
        <w:rPr>
          <w:lang w:eastAsia="en-AU" w:bidi="ar-SA"/>
        </w:rPr>
        <w:t>and that the</w:t>
      </w:r>
      <w:r w:rsidR="00245E52" w:rsidRPr="00267F59">
        <w:rPr>
          <w:lang w:eastAsia="en-AU" w:bidi="ar-SA"/>
        </w:rPr>
        <w:t xml:space="preserve"> allergenic risk was likely to be low.</w:t>
      </w:r>
    </w:p>
    <w:p w14:paraId="60821690" w14:textId="77777777" w:rsidR="007F581F" w:rsidRPr="00F46E4C" w:rsidRDefault="007F581F" w:rsidP="00477F42">
      <w:pPr>
        <w:pStyle w:val="Heading2"/>
      </w:pPr>
      <w:bookmarkStart w:id="158" w:name="_Toc85204781"/>
      <w:bookmarkStart w:id="159" w:name="_Toc85211343"/>
      <w:bookmarkStart w:id="160" w:name="_Toc87259318"/>
      <w:r w:rsidRPr="00267F59">
        <w:t>3.4</w:t>
      </w:r>
      <w:r w:rsidRPr="00267F59">
        <w:tab/>
        <w:t>Dietary exposure assessment</w:t>
      </w:r>
      <w:bookmarkEnd w:id="158"/>
      <w:bookmarkEnd w:id="159"/>
      <w:bookmarkEnd w:id="160"/>
    </w:p>
    <w:p w14:paraId="79A88660" w14:textId="300DE86F" w:rsidR="007F581F" w:rsidRPr="00C42907" w:rsidRDefault="007F581F" w:rsidP="007F581F">
      <w:pPr>
        <w:rPr>
          <w:szCs w:val="22"/>
        </w:rPr>
      </w:pPr>
      <w:r w:rsidRPr="00C42907">
        <w:rPr>
          <w:szCs w:val="22"/>
        </w:rPr>
        <w:t xml:space="preserve">The objective of the dietary </w:t>
      </w:r>
      <w:r>
        <w:rPr>
          <w:szCs w:val="22"/>
        </w:rPr>
        <w:t>exposure</w:t>
      </w:r>
      <w:r w:rsidRPr="00C42907">
        <w:rPr>
          <w:szCs w:val="22"/>
        </w:rPr>
        <w:t xml:space="preserve"> assessment was to review the budget method calculation presented by the applicant as a ‘worse-case scenario’ approach to estimating likely levels of dietary </w:t>
      </w:r>
      <w:r>
        <w:rPr>
          <w:szCs w:val="22"/>
        </w:rPr>
        <w:t xml:space="preserve">exposure </w:t>
      </w:r>
      <w:r w:rsidRPr="00C42907">
        <w:rPr>
          <w:szCs w:val="22"/>
        </w:rPr>
        <w:t xml:space="preserve">assuming all added </w:t>
      </w:r>
      <w:r w:rsidRPr="00DC06C8">
        <w:t>maltogenic alpha</w:t>
      </w:r>
      <w:r w:rsidR="001D62DB">
        <w:t xml:space="preserve"> </w:t>
      </w:r>
      <w:r w:rsidRPr="00DC06C8">
        <w:t xml:space="preserve">amylase </w:t>
      </w:r>
      <w:r w:rsidRPr="00C42907">
        <w:rPr>
          <w:szCs w:val="22"/>
        </w:rPr>
        <w:t>remained in the food.</w:t>
      </w:r>
    </w:p>
    <w:p w14:paraId="5137F893" w14:textId="77777777" w:rsidR="007F581F" w:rsidRPr="00C42907" w:rsidRDefault="007F581F" w:rsidP="007F581F">
      <w:pPr>
        <w:rPr>
          <w:szCs w:val="22"/>
        </w:rPr>
      </w:pPr>
    </w:p>
    <w:p w14:paraId="6B48083A" w14:textId="77777777" w:rsidR="007F581F" w:rsidRPr="00330DE7" w:rsidRDefault="007F581F" w:rsidP="007F581F">
      <w:pPr>
        <w:rPr>
          <w:szCs w:val="22"/>
        </w:rPr>
      </w:pPr>
      <w:r w:rsidRPr="00C42907">
        <w:rPr>
          <w:szCs w:val="22"/>
        </w:rPr>
        <w:t xml:space="preserve">The budget method is a valid screening tool for estimating the theoretical maximum daily </w:t>
      </w:r>
      <w:r w:rsidRPr="00330DE7">
        <w:rPr>
          <w:szCs w:val="22"/>
        </w:rPr>
        <w:t xml:space="preserve">intake (TMDI) of a food additive (Douglass </w:t>
      </w:r>
      <w:r w:rsidRPr="00330DE7">
        <w:rPr>
          <w:i/>
          <w:szCs w:val="22"/>
        </w:rPr>
        <w:t>et al.,</w:t>
      </w:r>
      <w:r w:rsidRPr="00330DE7">
        <w:rPr>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an ADI or a NOAEL to estimate a margin of exposure for risk characterisation purposes. </w:t>
      </w:r>
    </w:p>
    <w:p w14:paraId="45707755" w14:textId="77777777" w:rsidR="007F581F" w:rsidRPr="00330DE7" w:rsidRDefault="007F581F" w:rsidP="007F581F">
      <w:pPr>
        <w:rPr>
          <w:szCs w:val="22"/>
        </w:rPr>
      </w:pPr>
    </w:p>
    <w:p w14:paraId="069EBED7" w14:textId="77777777" w:rsidR="007F581F" w:rsidRPr="00C42907" w:rsidRDefault="007F581F" w:rsidP="007F581F">
      <w:pPr>
        <w:rPr>
          <w:szCs w:val="22"/>
        </w:rPr>
      </w:pPr>
      <w:r w:rsidRPr="00330DE7">
        <w:rPr>
          <w:szCs w:val="22"/>
        </w:rPr>
        <w:t>In their budget method calculation, the applicant made the following assumptions:</w:t>
      </w:r>
    </w:p>
    <w:p w14:paraId="130BF21C" w14:textId="77777777" w:rsidR="007F581F" w:rsidRPr="00C42907" w:rsidRDefault="007F581F" w:rsidP="007F581F">
      <w:pPr>
        <w:rPr>
          <w:szCs w:val="22"/>
        </w:rPr>
      </w:pPr>
    </w:p>
    <w:p w14:paraId="4C53D1E5" w14:textId="77777777" w:rsidR="007F581F" w:rsidRPr="00C42907" w:rsidRDefault="007F581F" w:rsidP="007F581F">
      <w:pPr>
        <w:pStyle w:val="FSBullet1"/>
        <w:ind w:left="502" w:hanging="360"/>
        <w:rPr>
          <w:szCs w:val="22"/>
        </w:rPr>
      </w:pPr>
      <w:r w:rsidRPr="00C42907">
        <w:rPr>
          <w:szCs w:val="22"/>
        </w:rPr>
        <w:t xml:space="preserve">the maximum physiological requirement for solid food (including milk) is </w:t>
      </w:r>
      <w:r>
        <w:rPr>
          <w:szCs w:val="22"/>
        </w:rPr>
        <w:t>50</w:t>
      </w:r>
      <w:r w:rsidRPr="00C42907">
        <w:rPr>
          <w:szCs w:val="22"/>
        </w:rPr>
        <w:t> g/kg body weight/day</w:t>
      </w:r>
    </w:p>
    <w:p w14:paraId="46A82119" w14:textId="7CA8F87B" w:rsidR="007F581F" w:rsidRPr="00C42907" w:rsidRDefault="007F581F" w:rsidP="007F581F">
      <w:pPr>
        <w:pStyle w:val="FSBullet1"/>
        <w:ind w:left="502" w:hanging="360"/>
        <w:rPr>
          <w:szCs w:val="22"/>
        </w:rPr>
      </w:pPr>
      <w:r w:rsidRPr="00C42907">
        <w:rPr>
          <w:szCs w:val="22"/>
        </w:rPr>
        <w:t xml:space="preserve">the maximum physiological requirement for non-milk beverages is 100 mL/kg body weight/day (the standard </w:t>
      </w:r>
      <w:r w:rsidR="00B055B3">
        <w:rPr>
          <w:szCs w:val="22"/>
        </w:rPr>
        <w:t xml:space="preserve">default </w:t>
      </w:r>
      <w:r w:rsidRPr="00C42907">
        <w:rPr>
          <w:szCs w:val="22"/>
        </w:rPr>
        <w:t>level used in a budget method calculation</w:t>
      </w:r>
      <w:r w:rsidR="00B055B3">
        <w:rPr>
          <w:szCs w:val="22"/>
        </w:rPr>
        <w:t xml:space="preserve"> as </w:t>
      </w:r>
      <w:r w:rsidR="00B055B3" w:rsidRPr="006B6245">
        <w:rPr>
          <w:szCs w:val="22"/>
        </w:rPr>
        <w:t>noted in the FAO/WHO Environmental</w:t>
      </w:r>
      <w:r w:rsidR="00B055B3" w:rsidRPr="006B6245">
        <w:t xml:space="preserve"> Health Criteria (EHC) 240 Chapter 6 on dietary exposure assessment (FAO/WHO 2009</w:t>
      </w:r>
      <w:r w:rsidR="00CF2113">
        <w:t>b</w:t>
      </w:r>
      <w:r w:rsidR="00B055B3" w:rsidRPr="006B6245">
        <w:t>)</w:t>
      </w:r>
      <w:r w:rsidRPr="00C42907">
        <w:rPr>
          <w:szCs w:val="22"/>
        </w:rPr>
        <w:t>)</w:t>
      </w:r>
    </w:p>
    <w:p w14:paraId="3B0A8CEE" w14:textId="4919BF6E" w:rsidR="007F581F" w:rsidRDefault="007F581F" w:rsidP="007F581F">
      <w:pPr>
        <w:pStyle w:val="FSBullet1"/>
        <w:ind w:left="502" w:hanging="360"/>
        <w:rPr>
          <w:szCs w:val="22"/>
        </w:rPr>
      </w:pPr>
      <w:r>
        <w:rPr>
          <w:szCs w:val="22"/>
        </w:rPr>
        <w:t>12.5</w:t>
      </w:r>
      <w:r w:rsidRPr="00C42907">
        <w:rPr>
          <w:szCs w:val="22"/>
        </w:rPr>
        <w:t xml:space="preserve">% of solid food and 25% of non-milk beverages contain </w:t>
      </w:r>
      <w:r w:rsidRPr="00141056">
        <w:rPr>
          <w:szCs w:val="22"/>
        </w:rPr>
        <w:t>maltogenic alpha</w:t>
      </w:r>
      <w:r w:rsidR="001D62DB">
        <w:rPr>
          <w:szCs w:val="22"/>
        </w:rPr>
        <w:t xml:space="preserve"> </w:t>
      </w:r>
      <w:r w:rsidRPr="00141056">
        <w:rPr>
          <w:szCs w:val="22"/>
        </w:rPr>
        <w:t xml:space="preserve">amylase </w:t>
      </w:r>
      <w:r w:rsidR="003A4313">
        <w:rPr>
          <w:szCs w:val="22"/>
        </w:rPr>
        <w:t>(</w:t>
      </w:r>
      <w:r w:rsidR="003A4313" w:rsidRPr="00C42907">
        <w:rPr>
          <w:szCs w:val="22"/>
        </w:rPr>
        <w:t xml:space="preserve">standard </w:t>
      </w:r>
      <w:r w:rsidR="003A4313">
        <w:rPr>
          <w:szCs w:val="22"/>
        </w:rPr>
        <w:t>default proportions</w:t>
      </w:r>
      <w:r w:rsidR="003A4313" w:rsidRPr="00C42907">
        <w:rPr>
          <w:szCs w:val="22"/>
        </w:rPr>
        <w:t xml:space="preserve"> </w:t>
      </w:r>
      <w:r w:rsidR="003A4313" w:rsidRPr="006B6245">
        <w:t>(FAO/WHO 2009</w:t>
      </w:r>
      <w:r w:rsidR="00CF2113">
        <w:t>b</w:t>
      </w:r>
      <w:r w:rsidR="003A4313" w:rsidRPr="006B6245">
        <w:t>)</w:t>
      </w:r>
      <w:r w:rsidR="003A4313">
        <w:t>)</w:t>
      </w:r>
    </w:p>
    <w:p w14:paraId="1ECD5FED" w14:textId="5C9C8081" w:rsidR="007F581F" w:rsidRPr="00C42907" w:rsidRDefault="007F581F" w:rsidP="007F581F">
      <w:pPr>
        <w:pStyle w:val="FSBullet1"/>
        <w:ind w:left="502" w:hanging="360"/>
        <w:rPr>
          <w:szCs w:val="22"/>
        </w:rPr>
      </w:pPr>
      <w:r w:rsidRPr="00C42907">
        <w:rPr>
          <w:szCs w:val="22"/>
        </w:rPr>
        <w:t xml:space="preserve">the maximum </w:t>
      </w:r>
      <w:r w:rsidRPr="00141056">
        <w:rPr>
          <w:szCs w:val="22"/>
        </w:rPr>
        <w:t>maltogenic alpha</w:t>
      </w:r>
      <w:r w:rsidR="001D62DB">
        <w:rPr>
          <w:szCs w:val="22"/>
        </w:rPr>
        <w:t xml:space="preserve"> </w:t>
      </w:r>
      <w:r w:rsidRPr="00141056">
        <w:rPr>
          <w:szCs w:val="22"/>
        </w:rPr>
        <w:t xml:space="preserve">amylase </w:t>
      </w:r>
      <w:r w:rsidRPr="00C42907">
        <w:rPr>
          <w:szCs w:val="22"/>
        </w:rPr>
        <w:t xml:space="preserve">level in final solid food </w:t>
      </w:r>
      <w:r>
        <w:rPr>
          <w:szCs w:val="22"/>
        </w:rPr>
        <w:t xml:space="preserve">and </w:t>
      </w:r>
      <w:r w:rsidRPr="00C42907">
        <w:rPr>
          <w:szCs w:val="22"/>
        </w:rPr>
        <w:t>non-milk beverage</w:t>
      </w:r>
      <w:r w:rsidR="00B055B3">
        <w:rPr>
          <w:szCs w:val="22"/>
        </w:rPr>
        <w:t>s</w:t>
      </w:r>
      <w:r w:rsidRPr="00C42907">
        <w:rPr>
          <w:szCs w:val="22"/>
        </w:rPr>
        <w:t xml:space="preserve"> was 3</w:t>
      </w:r>
      <w:r>
        <w:rPr>
          <w:szCs w:val="22"/>
        </w:rPr>
        <w:t>3</w:t>
      </w:r>
      <w:r w:rsidRPr="00C42907">
        <w:rPr>
          <w:szCs w:val="22"/>
        </w:rPr>
        <w:t>.</w:t>
      </w:r>
      <w:r>
        <w:rPr>
          <w:szCs w:val="22"/>
        </w:rPr>
        <w:t>89</w:t>
      </w:r>
      <w:r w:rsidRPr="00C42907">
        <w:rPr>
          <w:szCs w:val="22"/>
        </w:rPr>
        <w:t xml:space="preserve"> mg TOS/kg food </w:t>
      </w:r>
      <w:r>
        <w:rPr>
          <w:szCs w:val="22"/>
        </w:rPr>
        <w:t>(i.e. the highest use level from all uses within each group)</w:t>
      </w:r>
    </w:p>
    <w:p w14:paraId="47E5DC4A" w14:textId="50D6AA1F" w:rsidR="007F581F" w:rsidRPr="00C42907" w:rsidRDefault="007F581F" w:rsidP="007F581F">
      <w:pPr>
        <w:pStyle w:val="FSBullet1"/>
        <w:ind w:left="502" w:hanging="360"/>
        <w:rPr>
          <w:szCs w:val="22"/>
        </w:rPr>
      </w:pPr>
      <w:r w:rsidRPr="00C42907">
        <w:rPr>
          <w:szCs w:val="22"/>
        </w:rPr>
        <w:t>all of the enzyme will remain in the final food</w:t>
      </w:r>
      <w:r w:rsidR="00B055B3">
        <w:rPr>
          <w:szCs w:val="22"/>
        </w:rPr>
        <w:t xml:space="preserve"> and </w:t>
      </w:r>
      <w:r>
        <w:rPr>
          <w:szCs w:val="22"/>
        </w:rPr>
        <w:t>non-milk beverages</w:t>
      </w:r>
      <w:r w:rsidR="00B055B3">
        <w:rPr>
          <w:szCs w:val="22"/>
        </w:rPr>
        <w:t>.</w:t>
      </w:r>
    </w:p>
    <w:p w14:paraId="4E65B417" w14:textId="77777777" w:rsidR="007F581F" w:rsidRDefault="007F581F" w:rsidP="007F581F">
      <w:pPr>
        <w:rPr>
          <w:szCs w:val="22"/>
          <w:lang w:val="en-AU"/>
        </w:rPr>
      </w:pPr>
    </w:p>
    <w:p w14:paraId="2EBAB3B8" w14:textId="6EB79028" w:rsidR="007F581F" w:rsidRPr="00C42907" w:rsidRDefault="007F581F" w:rsidP="007F581F">
      <w:pPr>
        <w:rPr>
          <w:szCs w:val="22"/>
          <w:lang w:val="en-AU"/>
        </w:rPr>
      </w:pPr>
      <w:r w:rsidRPr="00C42907">
        <w:rPr>
          <w:szCs w:val="22"/>
          <w:lang w:val="en-AU"/>
        </w:rPr>
        <w:lastRenderedPageBreak/>
        <w:t>Based on these assumptions, t</w:t>
      </w:r>
      <w:r w:rsidRPr="00C42907">
        <w:rPr>
          <w:szCs w:val="22"/>
        </w:rPr>
        <w:t xml:space="preserve">he applicant </w:t>
      </w:r>
      <w:r w:rsidRPr="00C42907">
        <w:rPr>
          <w:szCs w:val="22"/>
          <w:lang w:val="en-AU"/>
        </w:rPr>
        <w:t xml:space="preserve">calculated </w:t>
      </w:r>
      <w:r>
        <w:rPr>
          <w:szCs w:val="22"/>
          <w:lang w:val="en-AU"/>
        </w:rPr>
        <w:t xml:space="preserve">the </w:t>
      </w:r>
      <w:r w:rsidRPr="00C42907">
        <w:rPr>
          <w:szCs w:val="22"/>
          <w:lang w:val="en-AU"/>
        </w:rPr>
        <w:t xml:space="preserve">TMDI of </w:t>
      </w:r>
      <w:r w:rsidRPr="00DC06C8">
        <w:t>maltogenic alpha</w:t>
      </w:r>
      <w:r w:rsidR="001D62DB">
        <w:t xml:space="preserve"> </w:t>
      </w:r>
      <w:r w:rsidRPr="00DC06C8">
        <w:t xml:space="preserve">amylase </w:t>
      </w:r>
      <w:r w:rsidRPr="00C42907">
        <w:rPr>
          <w:szCs w:val="22"/>
          <w:lang w:val="en-AU"/>
        </w:rPr>
        <w:t xml:space="preserve">to </w:t>
      </w:r>
      <w:r>
        <w:rPr>
          <w:szCs w:val="22"/>
          <w:lang w:val="en-AU"/>
        </w:rPr>
        <w:t>be</w:t>
      </w:r>
      <w:r w:rsidRPr="00C42907">
        <w:rPr>
          <w:szCs w:val="22"/>
          <w:lang w:val="en-AU"/>
        </w:rPr>
        <w:t xml:space="preserve"> </w:t>
      </w:r>
      <w:r>
        <w:rPr>
          <w:szCs w:val="22"/>
          <w:lang w:val="en-AU"/>
        </w:rPr>
        <w:t>1.059</w:t>
      </w:r>
      <w:r w:rsidRPr="00C42907">
        <w:rPr>
          <w:szCs w:val="22"/>
          <w:lang w:val="en-AU"/>
        </w:rPr>
        <w:t xml:space="preserve"> mg TOS/kg body weight/day</w:t>
      </w:r>
      <w:r w:rsidR="003537EE">
        <w:rPr>
          <w:szCs w:val="22"/>
          <w:lang w:val="en-AU"/>
        </w:rPr>
        <w:t xml:space="preserve"> (1.06 mg TOS/kg body weight/day rounded)</w:t>
      </w:r>
      <w:r w:rsidRPr="00C42907">
        <w:rPr>
          <w:szCs w:val="22"/>
          <w:lang w:val="en-AU"/>
        </w:rPr>
        <w:t>.</w:t>
      </w:r>
    </w:p>
    <w:p w14:paraId="4B8D59C2" w14:textId="77777777" w:rsidR="007F581F" w:rsidRPr="00C42907" w:rsidRDefault="007F581F" w:rsidP="007F581F">
      <w:pPr>
        <w:rPr>
          <w:szCs w:val="22"/>
          <w:lang w:val="en-AU"/>
        </w:rPr>
      </w:pPr>
    </w:p>
    <w:p w14:paraId="45B2761B" w14:textId="71D3208D" w:rsidR="007F581F" w:rsidRPr="006B6245" w:rsidRDefault="00B055B3" w:rsidP="003A4323">
      <w:pPr>
        <w:rPr>
          <w:szCs w:val="22"/>
        </w:rPr>
      </w:pPr>
      <w:r>
        <w:t xml:space="preserve">FSANZ has reviewed the assumptions and accepts the calculation. </w:t>
      </w:r>
      <w:r>
        <w:rPr>
          <w:szCs w:val="22"/>
        </w:rPr>
        <w:t>T</w:t>
      </w:r>
      <w:r w:rsidR="007F581F" w:rsidRPr="006B6245">
        <w:rPr>
          <w:szCs w:val="22"/>
        </w:rPr>
        <w:t xml:space="preserve">he maximum physiological requirement for solid food (including milk) </w:t>
      </w:r>
      <w:r>
        <w:rPr>
          <w:szCs w:val="22"/>
        </w:rPr>
        <w:t>of</w:t>
      </w:r>
      <w:r w:rsidRPr="006B6245">
        <w:rPr>
          <w:szCs w:val="22"/>
        </w:rPr>
        <w:t xml:space="preserve"> </w:t>
      </w:r>
      <w:r w:rsidR="007F581F" w:rsidRPr="006B6245">
        <w:rPr>
          <w:szCs w:val="22"/>
        </w:rPr>
        <w:t>50 g/kg body weight/day</w:t>
      </w:r>
      <w:r>
        <w:rPr>
          <w:szCs w:val="22"/>
        </w:rPr>
        <w:t xml:space="preserve"> is</w:t>
      </w:r>
      <w:r w:rsidR="007F581F" w:rsidRPr="006B6245">
        <w:rPr>
          <w:szCs w:val="22"/>
        </w:rPr>
        <w:t xml:space="preserve"> the standard level used in a budget method calculation where there is potential for the enzyme to be in baby foods or general purpose foods that would be consumed by infants, which for this enzyme would be from the bakery and starch processing uses</w:t>
      </w:r>
      <w:r w:rsidR="007A57E8">
        <w:rPr>
          <w:szCs w:val="22"/>
        </w:rPr>
        <w:t>.</w:t>
      </w:r>
    </w:p>
    <w:p w14:paraId="2E80CEE5" w14:textId="77777777" w:rsidR="007F581F" w:rsidRDefault="007F581F" w:rsidP="007F581F">
      <w:pPr>
        <w:pStyle w:val="FSBullet2"/>
        <w:numPr>
          <w:ilvl w:val="0"/>
          <w:numId w:val="0"/>
        </w:numPr>
      </w:pPr>
    </w:p>
    <w:p w14:paraId="1E8DF45F" w14:textId="555AED27" w:rsidR="007F581F" w:rsidRDefault="003A4E84" w:rsidP="007F581F">
      <w:pPr>
        <w:pStyle w:val="FSBullet2"/>
        <w:numPr>
          <w:ilvl w:val="0"/>
          <w:numId w:val="0"/>
        </w:numPr>
      </w:pPr>
      <w:r>
        <w:t>T</w:t>
      </w:r>
      <w:r w:rsidR="007F581F">
        <w:t>he TMDI will be</w:t>
      </w:r>
      <w:r>
        <w:t xml:space="preserve"> an</w:t>
      </w:r>
      <w:r w:rsidR="007F581F">
        <w:t xml:space="preserve"> overestimate of</w:t>
      </w:r>
      <w:r w:rsidR="007F581F" w:rsidRPr="003032C1">
        <w:t xml:space="preserve"> the dietary exposure given the conservatisms in the budget method</w:t>
      </w:r>
      <w:r w:rsidR="007F581F">
        <w:t xml:space="preserve">. </w:t>
      </w:r>
      <w:r w:rsidR="000959A1">
        <w:t>I</w:t>
      </w:r>
      <w:r w:rsidR="007F581F" w:rsidRPr="00E96F52">
        <w:t>t was assumed that the enzyme remains in the final foods and beverages</w:t>
      </w:r>
      <w:r w:rsidR="00C31F2C">
        <w:t>. H</w:t>
      </w:r>
      <w:r w:rsidR="000959A1">
        <w:t>owever FSANZ notes that</w:t>
      </w:r>
      <w:r w:rsidR="00C31F2C">
        <w:t xml:space="preserve"> </w:t>
      </w:r>
      <w:r w:rsidR="0034269F">
        <w:t>the enzyme</w:t>
      </w:r>
      <w:r w:rsidR="000959A1">
        <w:t xml:space="preserve"> will be inactivated </w:t>
      </w:r>
      <w:r w:rsidR="007F581F" w:rsidRPr="00E96F52">
        <w:t xml:space="preserve">during </w:t>
      </w:r>
      <w:r w:rsidR="000959A1">
        <w:t xml:space="preserve">food </w:t>
      </w:r>
      <w:r w:rsidR="007F581F" w:rsidRPr="00E96F52">
        <w:t>processing</w:t>
      </w:r>
      <w:r w:rsidR="00BA16A6">
        <w:t xml:space="preserve"> </w:t>
      </w:r>
      <w:r w:rsidR="00C31F2C" w:rsidRPr="00C31F2C">
        <w:t>due to p</w:t>
      </w:r>
      <w:r w:rsidR="00C31F2C">
        <w:t>rocess conditions such as</w:t>
      </w:r>
      <w:r w:rsidR="009849E0">
        <w:t xml:space="preserve"> high</w:t>
      </w:r>
      <w:r w:rsidR="00C31F2C">
        <w:t xml:space="preserve"> heat and an</w:t>
      </w:r>
      <w:r w:rsidR="00C31F2C" w:rsidRPr="00C31F2C">
        <w:t xml:space="preserve"> unconducive pH</w:t>
      </w:r>
      <w:r w:rsidR="00826A24">
        <w:t>,</w:t>
      </w:r>
      <w:r w:rsidR="007F581F" w:rsidRPr="00E96F52">
        <w:t xml:space="preserve"> </w:t>
      </w:r>
      <w:r w:rsidR="000959A1">
        <w:t xml:space="preserve">and will have no </w:t>
      </w:r>
      <w:r w:rsidR="0034269F">
        <w:t xml:space="preserve">technological </w:t>
      </w:r>
      <w:r w:rsidR="000959A1">
        <w:t>function in the final food</w:t>
      </w:r>
      <w:r w:rsidR="00826A24">
        <w:t>.</w:t>
      </w:r>
    </w:p>
    <w:p w14:paraId="7FF2B240" w14:textId="7FBB6971" w:rsidR="00CB6844" w:rsidRDefault="00AB57B6" w:rsidP="00AB57B6">
      <w:pPr>
        <w:pStyle w:val="Heading1"/>
        <w:tabs>
          <w:tab w:val="left" w:pos="5071"/>
        </w:tabs>
      </w:pPr>
      <w:bookmarkStart w:id="161" w:name="_Toc85204782"/>
      <w:bookmarkStart w:id="162" w:name="_Toc85211344"/>
      <w:bookmarkStart w:id="163" w:name="_Toc87259319"/>
      <w:r>
        <w:t xml:space="preserve">4 </w:t>
      </w:r>
      <w:r>
        <w:tab/>
        <w:t>Discussion</w:t>
      </w:r>
      <w:bookmarkEnd w:id="161"/>
      <w:bookmarkEnd w:id="162"/>
      <w:bookmarkEnd w:id="163"/>
    </w:p>
    <w:p w14:paraId="4951B699" w14:textId="77777777" w:rsidR="00742170" w:rsidRDefault="00742170" w:rsidP="00742170">
      <w:bookmarkStart w:id="164" w:name="_Toc30154619"/>
      <w:bookmarkStart w:id="165" w:name="_Toc85204783"/>
      <w:bookmarkStart w:id="166" w:name="_Toc85211345"/>
      <w:r>
        <w:t xml:space="preserve">No public health and safety concerns were identified in the assessment of this maltogenic alpha amylase produced from a GM strain of </w:t>
      </w:r>
      <w:r w:rsidRPr="00560323">
        <w:rPr>
          <w:i/>
        </w:rPr>
        <w:t>E.</w:t>
      </w:r>
      <w:r>
        <w:rPr>
          <w:i/>
        </w:rPr>
        <w:t> </w:t>
      </w:r>
      <w:r w:rsidRPr="00560323">
        <w:rPr>
          <w:i/>
        </w:rPr>
        <w:t>coli</w:t>
      </w:r>
      <w:r>
        <w:rPr>
          <w:i/>
        </w:rPr>
        <w:t xml:space="preserve"> </w:t>
      </w:r>
      <w:r>
        <w:t xml:space="preserve">under the proposed use conditions. </w:t>
      </w:r>
      <w:r w:rsidRPr="00560323">
        <w:t xml:space="preserve">The </w:t>
      </w:r>
      <w:r w:rsidRPr="00004136">
        <w:rPr>
          <w:i/>
        </w:rPr>
        <w:t>E. coli</w:t>
      </w:r>
      <w:r>
        <w:t xml:space="preserve"> </w:t>
      </w:r>
      <w:r w:rsidRPr="00560323">
        <w:t>host is neither pathogenic nor toxigenic and analysis of the GM production</w:t>
      </w:r>
      <w:r>
        <w:t xml:space="preserve"> </w:t>
      </w:r>
      <w:r w:rsidRPr="00560323">
        <w:t>strain</w:t>
      </w:r>
      <w:r>
        <w:t xml:space="preserve"> (</w:t>
      </w:r>
      <w:r>
        <w:rPr>
          <w:i/>
        </w:rPr>
        <w:t xml:space="preserve">E. coli </w:t>
      </w:r>
      <w:r>
        <w:t>BLASC)</w:t>
      </w:r>
      <w:r w:rsidRPr="00560323">
        <w:t xml:space="preserve"> confirmed </w:t>
      </w:r>
      <w:r>
        <w:t xml:space="preserve">the </w:t>
      </w:r>
      <w:r w:rsidRPr="00560323">
        <w:t xml:space="preserve">presence and stability of the </w:t>
      </w:r>
      <w:r>
        <w:t>introduced</w:t>
      </w:r>
      <w:r w:rsidRPr="00560323">
        <w:t xml:space="preserve"> DNA.</w:t>
      </w:r>
      <w:r w:rsidRPr="00E22364">
        <w:t xml:space="preserve"> Bioinformatic analysis indicated that the enzyme shows no significant homology with any known toxins.</w:t>
      </w:r>
    </w:p>
    <w:p w14:paraId="5ED6EA11" w14:textId="77777777" w:rsidR="00742170" w:rsidRDefault="00742170" w:rsidP="00742170"/>
    <w:p w14:paraId="75DE69E3" w14:textId="1389865E" w:rsidR="00742170" w:rsidRDefault="00742170" w:rsidP="00742170">
      <w:r>
        <w:t>M</w:t>
      </w:r>
      <w:r w:rsidRPr="00E22364">
        <w:t xml:space="preserve">altogenic alpha amylase </w:t>
      </w:r>
      <w:r>
        <w:t xml:space="preserve">was not genotoxic </w:t>
      </w:r>
      <w:r w:rsidRPr="000F3AB9">
        <w:rPr>
          <w:i/>
        </w:rPr>
        <w:t>in vitro</w:t>
      </w:r>
      <w:r>
        <w:t>. The no observed adverse effect level (NOAEL) determined in a 90-day oral gavage study in rats was 1000 mg/kg bw/day total protein, equivalent to 838 mg/kg bw/</w:t>
      </w:r>
      <w:r w:rsidR="00F152F5">
        <w:t>day Total Organic Solids (TOS).</w:t>
      </w:r>
      <w:r>
        <w:t xml:space="preserve"> The theoretical maximum daily intake (TMDI) was calculated to be 1.06 mg/kg bw/day TOS. A comparison of the NOAEL and the TMDI gives a Margin of Exposure (MOE) of approximately 790.</w:t>
      </w:r>
    </w:p>
    <w:p w14:paraId="70910FE4" w14:textId="77777777" w:rsidR="00742170" w:rsidRDefault="00742170" w:rsidP="00742170"/>
    <w:p w14:paraId="081B835C" w14:textId="31F2E450" w:rsidR="00742170" w:rsidRDefault="00742170" w:rsidP="00742170">
      <w:pPr>
        <w:rPr>
          <w:lang w:eastAsia="en-AU"/>
        </w:rPr>
      </w:pPr>
      <w:r>
        <w:rPr>
          <w:lang w:bidi="ar-SA"/>
        </w:rPr>
        <w:t>B</w:t>
      </w:r>
      <w:r w:rsidRPr="00F667EB">
        <w:rPr>
          <w:lang w:bidi="ar-SA"/>
        </w:rPr>
        <w:t>ioi</w:t>
      </w:r>
      <w:r w:rsidRPr="00746286">
        <w:rPr>
          <w:lang w:bidi="ar-SA"/>
        </w:rPr>
        <w:t xml:space="preserve">nformatic analysis showed that the enzyme has a degree of homology with </w:t>
      </w:r>
      <w:r>
        <w:rPr>
          <w:lang w:bidi="ar-SA"/>
        </w:rPr>
        <w:t xml:space="preserve">several </w:t>
      </w:r>
      <w:r w:rsidRPr="00746286">
        <w:rPr>
          <w:lang w:bidi="ar-SA"/>
        </w:rPr>
        <w:t xml:space="preserve">known allergens. None were food allergens. No reports of sensitisation to any form of maltogenic </w:t>
      </w:r>
      <w:r>
        <w:rPr>
          <w:lang w:bidi="ar-SA"/>
        </w:rPr>
        <w:t>alpha amylase</w:t>
      </w:r>
      <w:r w:rsidRPr="00746286">
        <w:rPr>
          <w:lang w:bidi="ar-SA"/>
        </w:rPr>
        <w:t xml:space="preserve">s was found in a search of the scientific literature </w:t>
      </w:r>
      <w:r w:rsidRPr="00746286">
        <w:rPr>
          <w:lang w:bidi="ar-SA"/>
        </w:rPr>
        <w:lastRenderedPageBreak/>
        <w:t xml:space="preserve">and maltogenic </w:t>
      </w:r>
      <w:r>
        <w:rPr>
          <w:lang w:bidi="ar-SA"/>
        </w:rPr>
        <w:t>alpha amylases</w:t>
      </w:r>
      <w:r w:rsidRPr="00746286">
        <w:rPr>
          <w:lang w:bidi="ar-SA"/>
        </w:rPr>
        <w:t xml:space="preserve"> from the same source organism </w:t>
      </w:r>
      <w:r>
        <w:rPr>
          <w:lang w:bidi="ar-SA"/>
        </w:rPr>
        <w:t>are</w:t>
      </w:r>
      <w:r w:rsidRPr="00746286">
        <w:rPr>
          <w:lang w:bidi="ar-SA"/>
        </w:rPr>
        <w:t xml:space="preserve"> already permitted in the Code. </w:t>
      </w:r>
      <w:r w:rsidR="00267F59" w:rsidRPr="00267F59">
        <w:rPr>
          <w:lang w:bidi="ar-SA"/>
        </w:rPr>
        <w:t>On that basis, the enzyme was considered to be of low allergenic risk to consumers when u</w:t>
      </w:r>
      <w:r w:rsidR="00267F59">
        <w:rPr>
          <w:lang w:bidi="ar-SA"/>
        </w:rPr>
        <w:t>sed as a processing aid in food</w:t>
      </w:r>
      <w:r w:rsidRPr="00746286">
        <w:rPr>
          <w:lang w:eastAsia="en-AU"/>
        </w:rPr>
        <w:t>.</w:t>
      </w:r>
      <w:r>
        <w:rPr>
          <w:lang w:eastAsia="en-AU"/>
        </w:rPr>
        <w:t xml:space="preserve"> </w:t>
      </w:r>
    </w:p>
    <w:p w14:paraId="43759A05" w14:textId="01973434" w:rsidR="00AB57B6" w:rsidRPr="00521FAD" w:rsidRDefault="00AB57B6" w:rsidP="00AB57B6">
      <w:pPr>
        <w:pStyle w:val="Heading1"/>
      </w:pPr>
      <w:bookmarkStart w:id="167" w:name="_Toc87259320"/>
      <w:r>
        <w:t xml:space="preserve">5 </w:t>
      </w:r>
      <w:r>
        <w:tab/>
      </w:r>
      <w:r w:rsidRPr="00521FAD">
        <w:t>Conclusion</w:t>
      </w:r>
      <w:bookmarkEnd w:id="164"/>
      <w:bookmarkEnd w:id="165"/>
      <w:bookmarkEnd w:id="166"/>
      <w:bookmarkEnd w:id="167"/>
    </w:p>
    <w:p w14:paraId="11A29639" w14:textId="4D780B62" w:rsidR="00AB57B6" w:rsidRPr="00F667EB" w:rsidRDefault="00F667EB" w:rsidP="00F667EB">
      <w:r>
        <w:t xml:space="preserve">Based on the reviewed data it is concluded that in the absence of any identifiable hazard an Acceptable Daily Intake (ADI) ‘not specified’ is appropriate. </w:t>
      </w:r>
    </w:p>
    <w:p w14:paraId="2569CB78" w14:textId="77777777" w:rsidR="00AB57B6" w:rsidRDefault="00AB57B6" w:rsidP="00AB57B6">
      <w:pPr>
        <w:pStyle w:val="Heading1"/>
      </w:pPr>
      <w:bookmarkStart w:id="168" w:name="_Toc30154620"/>
      <w:bookmarkStart w:id="169" w:name="_Toc85204784"/>
      <w:bookmarkStart w:id="170" w:name="_Toc85211346"/>
      <w:bookmarkStart w:id="171" w:name="_Toc87259321"/>
      <w:r w:rsidRPr="00521FAD">
        <w:t xml:space="preserve">6 </w:t>
      </w:r>
      <w:r>
        <w:tab/>
        <w:t>References</w:t>
      </w:r>
      <w:bookmarkEnd w:id="168"/>
      <w:bookmarkEnd w:id="169"/>
      <w:bookmarkEnd w:id="170"/>
      <w:bookmarkEnd w:id="171"/>
    </w:p>
    <w:p w14:paraId="7CB478EA" w14:textId="751EE918" w:rsidR="00004136" w:rsidRDefault="00004136" w:rsidP="00031EE4">
      <w:pPr>
        <w:rPr>
          <w:sz w:val="20"/>
          <w:szCs w:val="20"/>
        </w:rPr>
      </w:pPr>
      <w:r w:rsidRPr="00031EE4">
        <w:rPr>
          <w:sz w:val="20"/>
          <w:szCs w:val="20"/>
        </w:rPr>
        <w:t>Baur X, Posch A (1998) Characterized allergens causing bakers' asthma. Allergy 53:562–566</w:t>
      </w:r>
      <w:r w:rsidR="00BA16A6">
        <w:rPr>
          <w:sz w:val="20"/>
          <w:szCs w:val="20"/>
        </w:rPr>
        <w:t>.</w:t>
      </w:r>
    </w:p>
    <w:p w14:paraId="317A6158" w14:textId="77777777" w:rsidR="00031EE4" w:rsidRPr="00031EE4" w:rsidRDefault="00031EE4" w:rsidP="00031EE4">
      <w:pPr>
        <w:rPr>
          <w:sz w:val="20"/>
          <w:szCs w:val="20"/>
        </w:rPr>
      </w:pPr>
    </w:p>
    <w:p w14:paraId="4D365585" w14:textId="7FED8C70" w:rsidR="00004136" w:rsidRDefault="00004136" w:rsidP="00004136">
      <w:pPr>
        <w:pStyle w:val="CommentText"/>
      </w:pPr>
      <w:r w:rsidRPr="00004136">
        <w:t>Bindslev-Jensen C, Skov PS, Roggen EL, Hvass P, Brinch DS (2006) Investigation on possible allergenicity of 19 different commercial enzymes used in the food industry. Food and Chemical Toxicology 44: 1909-1915</w:t>
      </w:r>
      <w:r w:rsidR="00BA16A6">
        <w:t>.</w:t>
      </w:r>
    </w:p>
    <w:p w14:paraId="7937AC1D" w14:textId="77777777" w:rsidR="00004136" w:rsidRDefault="00004136" w:rsidP="00004136">
      <w:pPr>
        <w:pStyle w:val="CommentText"/>
      </w:pPr>
    </w:p>
    <w:p w14:paraId="70805669" w14:textId="3DC517FF" w:rsidR="002E756A" w:rsidRDefault="002E756A" w:rsidP="007613B1">
      <w:pPr>
        <w:pStyle w:val="CommentText"/>
        <w:rPr>
          <w:i/>
        </w:rPr>
      </w:pPr>
      <w:r>
        <w:t>Daute</w:t>
      </w:r>
      <w:r w:rsidR="002F1384">
        <w:t xml:space="preserve"> Z</w:t>
      </w:r>
      <w:r>
        <w:t xml:space="preserve">, Dauter M, Brzozowski AM et al.(1999) X-ray structure of Novamyl, the five-domain “maltogenic” </w:t>
      </w:r>
      <w:r w:rsidRPr="00DE0DAA">
        <w:t>α</w:t>
      </w:r>
      <w:r>
        <w:t xml:space="preserve">-amylase from </w:t>
      </w:r>
      <w:r w:rsidRPr="00DE0DAA">
        <w:rPr>
          <w:i/>
        </w:rPr>
        <w:t xml:space="preserve">Bacillus </w:t>
      </w:r>
      <w:r>
        <w:rPr>
          <w:i/>
        </w:rPr>
        <w:t>stearothermophilu</w:t>
      </w:r>
      <w:r w:rsidRPr="00DE0DAA">
        <w:rPr>
          <w:i/>
        </w:rPr>
        <w:t>s</w:t>
      </w:r>
      <w:r>
        <w:t xml:space="preserve">: maltose and acarbose complexes at 1.7 A resolution. </w:t>
      </w:r>
      <w:r w:rsidRPr="002F1384">
        <w:t>Biochemistry 38:8385-8392</w:t>
      </w:r>
      <w:r w:rsidRPr="00DE0DAA">
        <w:rPr>
          <w:i/>
        </w:rPr>
        <w:t>.</w:t>
      </w:r>
    </w:p>
    <w:p w14:paraId="168849CB" w14:textId="3EAD5181" w:rsidR="003B2C28" w:rsidRDefault="003B2C28" w:rsidP="007613B1">
      <w:pPr>
        <w:pStyle w:val="CommentText"/>
      </w:pPr>
    </w:p>
    <w:p w14:paraId="1A1CA512" w14:textId="31699834" w:rsidR="00004136" w:rsidRDefault="00004136" w:rsidP="007613B1">
      <w:pPr>
        <w:pStyle w:val="CommentText"/>
      </w:pPr>
      <w:r w:rsidRPr="00004136">
        <w:t>Derde LJ, Gomand SV, Courtin CM, Delcour JA (2012) Characterisation of three starch degrading enzymes: thermostable β-amylase, maltotetraogenic and maltogenic alpha-amylases. Food Chem 135: 713-721</w:t>
      </w:r>
      <w:r w:rsidR="00BA16A6">
        <w:t>.</w:t>
      </w:r>
    </w:p>
    <w:p w14:paraId="605B67AC" w14:textId="77777777" w:rsidR="00004136" w:rsidRDefault="00004136" w:rsidP="007613B1">
      <w:pPr>
        <w:pStyle w:val="CommentText"/>
      </w:pPr>
    </w:p>
    <w:p w14:paraId="40552D57" w14:textId="0A7B7D3E" w:rsidR="007613B1" w:rsidRDefault="00830683" w:rsidP="007613B1">
      <w:pPr>
        <w:rPr>
          <w:rFonts w:cs="Arial"/>
          <w:sz w:val="20"/>
          <w:szCs w:val="20"/>
          <w:shd w:val="clear" w:color="auto" w:fill="FFFFFF"/>
        </w:rPr>
      </w:pPr>
      <w:r w:rsidRPr="003B2C28">
        <w:rPr>
          <w:rFonts w:cs="Arial"/>
          <w:sz w:val="20"/>
          <w:szCs w:val="20"/>
          <w:shd w:val="clear" w:color="auto" w:fill="FFFFFF"/>
        </w:rPr>
        <w:t xml:space="preserve">EFSA Panel on Food Contact Materials, Enzymes, Flavourings and Processing Aids (2018) Safety evaluation of the food enzyme maltogenic amylase from a genetically modified </w:t>
      </w:r>
      <w:r w:rsidRPr="003B2C28">
        <w:rPr>
          <w:rFonts w:cs="Arial"/>
          <w:i/>
          <w:sz w:val="20"/>
          <w:szCs w:val="20"/>
          <w:shd w:val="clear" w:color="auto" w:fill="FFFFFF"/>
        </w:rPr>
        <w:t>Bacillus subtilis</w:t>
      </w:r>
      <w:r w:rsidRPr="003B2C28">
        <w:rPr>
          <w:rFonts w:cs="Arial"/>
          <w:sz w:val="20"/>
          <w:szCs w:val="20"/>
          <w:shd w:val="clear" w:color="auto" w:fill="FFFFFF"/>
        </w:rPr>
        <w:t xml:space="preserve"> (strain NZYM-SM). EFSA J. 2018 May 2;16(5):e05171</w:t>
      </w:r>
      <w:r w:rsidR="00B1040C" w:rsidRPr="003B2C28">
        <w:rPr>
          <w:rFonts w:cs="Arial"/>
          <w:sz w:val="20"/>
          <w:szCs w:val="20"/>
          <w:shd w:val="clear" w:color="auto" w:fill="FFFFFF"/>
        </w:rPr>
        <w:t>.</w:t>
      </w:r>
    </w:p>
    <w:p w14:paraId="3E806A85" w14:textId="7162C3B4" w:rsidR="00B951F8" w:rsidRDefault="00B951F8" w:rsidP="007613B1">
      <w:pPr>
        <w:rPr>
          <w:rFonts w:cs="Arial"/>
          <w:sz w:val="20"/>
          <w:szCs w:val="20"/>
          <w:shd w:val="clear" w:color="auto" w:fill="FFFFFF"/>
        </w:rPr>
      </w:pPr>
    </w:p>
    <w:p w14:paraId="74FAC6ED" w14:textId="5D2B1545" w:rsidR="00B951F8" w:rsidRDefault="00B951F8" w:rsidP="007613B1">
      <w:pPr>
        <w:rPr>
          <w:rFonts w:cs="Arial"/>
          <w:sz w:val="20"/>
          <w:szCs w:val="20"/>
          <w:shd w:val="clear" w:color="auto" w:fill="FFFFFF"/>
        </w:rPr>
      </w:pPr>
      <w:r>
        <w:rPr>
          <w:rFonts w:cs="Arial"/>
          <w:sz w:val="20"/>
          <w:szCs w:val="20"/>
          <w:shd w:val="clear" w:color="auto" w:fill="FFFFFF"/>
        </w:rPr>
        <w:t>FALCPA (2004)</w:t>
      </w:r>
      <w:r w:rsidR="00BA16A6" w:rsidRPr="00BA16A6">
        <w:rPr>
          <w:rFonts w:cs="Arial"/>
          <w:sz w:val="20"/>
          <w:szCs w:val="20"/>
          <w:shd w:val="clear" w:color="auto" w:fill="FFFFFF"/>
        </w:rPr>
        <w:t xml:space="preserve"> Food Allergen Labeling And Consumer Protection Act of 200</w:t>
      </w:r>
      <w:r w:rsidR="00BA16A6">
        <w:rPr>
          <w:rFonts w:cs="Arial"/>
          <w:sz w:val="20"/>
          <w:szCs w:val="20"/>
          <w:shd w:val="clear" w:color="auto" w:fill="FFFFFF"/>
        </w:rPr>
        <w:t>4.</w:t>
      </w:r>
    </w:p>
    <w:p w14:paraId="35F9D620" w14:textId="1B2B7D22" w:rsidR="00004136" w:rsidRPr="003A4E84" w:rsidRDefault="00004136" w:rsidP="007613B1">
      <w:pPr>
        <w:rPr>
          <w:rFonts w:cs="Arial"/>
          <w:sz w:val="18"/>
          <w:szCs w:val="20"/>
          <w:shd w:val="clear" w:color="auto" w:fill="FFFFFF"/>
        </w:rPr>
      </w:pPr>
    </w:p>
    <w:p w14:paraId="3E0FF67C" w14:textId="7CF16789" w:rsidR="00B25B82" w:rsidRDefault="00B25B82" w:rsidP="00B25B82">
      <w:pPr>
        <w:rPr>
          <w:rFonts w:cs="Arial"/>
          <w:sz w:val="20"/>
          <w:szCs w:val="20"/>
          <w:shd w:val="clear" w:color="auto" w:fill="FFFFFF"/>
        </w:rPr>
      </w:pPr>
      <w:r w:rsidRPr="00B25B82">
        <w:rPr>
          <w:rFonts w:cs="Arial"/>
          <w:sz w:val="20"/>
          <w:szCs w:val="20"/>
          <w:shd w:val="clear" w:color="auto" w:fill="FFFFFF"/>
        </w:rPr>
        <w:t>FAO/WHO (2006) Combined compendium of food additive specifications, Food and Agriculture Organi</w:t>
      </w:r>
      <w:r w:rsidR="0068106D">
        <w:rPr>
          <w:rFonts w:cs="Arial"/>
          <w:sz w:val="20"/>
          <w:szCs w:val="20"/>
          <w:shd w:val="clear" w:color="auto" w:fill="FFFFFF"/>
        </w:rPr>
        <w:t>z</w:t>
      </w:r>
      <w:r w:rsidRPr="00B25B82">
        <w:rPr>
          <w:rFonts w:cs="Arial"/>
          <w:sz w:val="20"/>
          <w:szCs w:val="20"/>
          <w:shd w:val="clear" w:color="auto" w:fill="FFFFFF"/>
        </w:rPr>
        <w:t xml:space="preserve">ation of the United Nations, Rome. </w:t>
      </w:r>
      <w:hyperlink r:id="rId24" w:history="1">
        <w:r w:rsidRPr="005A6ACB">
          <w:rPr>
            <w:rStyle w:val="Hyperlink"/>
            <w:rFonts w:cs="Arial"/>
            <w:sz w:val="20"/>
            <w:szCs w:val="20"/>
            <w:shd w:val="clear" w:color="auto" w:fill="FFFFFF"/>
          </w:rPr>
          <w:t>http://www.fao.org/docrep/009/a0691e/A0691E03.htm</w:t>
        </w:r>
      </w:hyperlink>
      <w:r>
        <w:rPr>
          <w:rFonts w:cs="Arial"/>
          <w:sz w:val="20"/>
          <w:szCs w:val="20"/>
          <w:shd w:val="clear" w:color="auto" w:fill="FFFFFF"/>
        </w:rPr>
        <w:t xml:space="preserve"> </w:t>
      </w:r>
      <w:r w:rsidRPr="00B25B82">
        <w:rPr>
          <w:rFonts w:cs="Arial"/>
          <w:sz w:val="20"/>
          <w:szCs w:val="20"/>
          <w:shd w:val="clear" w:color="auto" w:fill="FFFFFF"/>
        </w:rPr>
        <w:t xml:space="preserve">  </w:t>
      </w:r>
    </w:p>
    <w:p w14:paraId="48FD87EE" w14:textId="606FDA20" w:rsidR="00B25B82" w:rsidRPr="00B25B82" w:rsidRDefault="00B25B82" w:rsidP="00B25B82">
      <w:pPr>
        <w:rPr>
          <w:rFonts w:cs="Arial"/>
          <w:sz w:val="20"/>
          <w:szCs w:val="20"/>
          <w:shd w:val="clear" w:color="auto" w:fill="FFFFFF"/>
        </w:rPr>
      </w:pPr>
      <w:r w:rsidRPr="00B25B82">
        <w:rPr>
          <w:rFonts w:cs="Arial"/>
          <w:sz w:val="20"/>
          <w:szCs w:val="20"/>
          <w:shd w:val="clear" w:color="auto" w:fill="FFFFFF"/>
        </w:rPr>
        <w:t xml:space="preserve"> </w:t>
      </w:r>
    </w:p>
    <w:p w14:paraId="773A8F7E" w14:textId="6C797B07" w:rsidR="00CF2113" w:rsidRPr="003A4E84" w:rsidRDefault="00CF2113" w:rsidP="00CF2113">
      <w:pPr>
        <w:rPr>
          <w:color w:val="000000"/>
          <w:sz w:val="20"/>
        </w:rPr>
      </w:pPr>
      <w:r w:rsidRPr="003A4E84">
        <w:rPr>
          <w:color w:val="000000"/>
          <w:sz w:val="20"/>
        </w:rPr>
        <w:lastRenderedPageBreak/>
        <w:t>FAO/WHO (200</w:t>
      </w:r>
      <w:r>
        <w:rPr>
          <w:color w:val="000000"/>
          <w:sz w:val="20"/>
        </w:rPr>
        <w:t>9a) Chapter 9</w:t>
      </w:r>
      <w:r w:rsidRPr="003A4E84">
        <w:rPr>
          <w:color w:val="000000"/>
          <w:sz w:val="20"/>
        </w:rPr>
        <w:t xml:space="preserve">: </w:t>
      </w:r>
      <w:r>
        <w:rPr>
          <w:color w:val="000000"/>
          <w:sz w:val="20"/>
        </w:rPr>
        <w:t>P</w:t>
      </w:r>
      <w:r w:rsidRPr="00CF2113">
        <w:rPr>
          <w:color w:val="000000"/>
          <w:sz w:val="20"/>
        </w:rPr>
        <w:t>rinciples related to specific groups of substances</w:t>
      </w:r>
      <w:r w:rsidRPr="003A4E84">
        <w:rPr>
          <w:color w:val="000000"/>
          <w:sz w:val="20"/>
        </w:rPr>
        <w:t>. In: International Progra</w:t>
      </w:r>
      <w:r>
        <w:rPr>
          <w:color w:val="000000"/>
          <w:sz w:val="20"/>
        </w:rPr>
        <w:t>mme on Chemical Safety (IPCS). Environmental Health Criteria, N</w:t>
      </w:r>
      <w:r w:rsidRPr="003A4E84">
        <w:rPr>
          <w:color w:val="000000"/>
          <w:sz w:val="20"/>
        </w:rPr>
        <w:t>o 240</w:t>
      </w:r>
      <w:r>
        <w:rPr>
          <w:color w:val="000000"/>
          <w:sz w:val="20"/>
        </w:rPr>
        <w:t xml:space="preserve">. </w:t>
      </w:r>
      <w:r w:rsidRPr="003A4E84">
        <w:rPr>
          <w:color w:val="000000"/>
          <w:sz w:val="20"/>
        </w:rPr>
        <w:t>Principles and methods for the risk assessment of chemicals in food. Rome: Food and Agriculture Organization of the United Nations (FAO) / Geneva: W</w:t>
      </w:r>
      <w:r>
        <w:rPr>
          <w:color w:val="000000"/>
          <w:sz w:val="20"/>
        </w:rPr>
        <w:t>orld Health Organization (WHO).</w:t>
      </w:r>
    </w:p>
    <w:p w14:paraId="4EDEE517" w14:textId="77777777" w:rsidR="00CF2113" w:rsidRDefault="00CF2113" w:rsidP="007613B1">
      <w:pPr>
        <w:rPr>
          <w:color w:val="000000"/>
          <w:sz w:val="20"/>
        </w:rPr>
      </w:pPr>
    </w:p>
    <w:p w14:paraId="58049F7D" w14:textId="4B797280" w:rsidR="003A4E84" w:rsidRPr="003A4E84" w:rsidRDefault="003A4E84" w:rsidP="007613B1">
      <w:pPr>
        <w:rPr>
          <w:color w:val="000000"/>
          <w:sz w:val="20"/>
        </w:rPr>
      </w:pPr>
      <w:r w:rsidRPr="003A4E84">
        <w:rPr>
          <w:color w:val="000000"/>
          <w:sz w:val="20"/>
        </w:rPr>
        <w:t>FAO/WHO (2009</w:t>
      </w:r>
      <w:r w:rsidR="00CF2113">
        <w:rPr>
          <w:color w:val="000000"/>
          <w:sz w:val="20"/>
        </w:rPr>
        <w:t>b</w:t>
      </w:r>
      <w:r w:rsidRPr="003A4E84">
        <w:rPr>
          <w:color w:val="000000"/>
          <w:sz w:val="20"/>
        </w:rPr>
        <w:t>) Chapter 6: Dietary exposure assessment of chemicals in food. In: International Progra</w:t>
      </w:r>
      <w:r>
        <w:rPr>
          <w:color w:val="000000"/>
          <w:sz w:val="20"/>
        </w:rPr>
        <w:t>mme on Chemical Safety (IPCS). Environmental Health Criteria, N</w:t>
      </w:r>
      <w:r w:rsidRPr="003A4E84">
        <w:rPr>
          <w:color w:val="000000"/>
          <w:sz w:val="20"/>
        </w:rPr>
        <w:t>o 240</w:t>
      </w:r>
      <w:r>
        <w:rPr>
          <w:color w:val="000000"/>
          <w:sz w:val="20"/>
        </w:rPr>
        <w:t xml:space="preserve">. </w:t>
      </w:r>
      <w:r w:rsidRPr="003A4E84">
        <w:rPr>
          <w:color w:val="000000"/>
          <w:sz w:val="20"/>
        </w:rPr>
        <w:t>Principles and methods for the risk assessment of chemicals in food. Rome: Food and Agriculture Organization of the United Nations (FAO) / Geneva: W</w:t>
      </w:r>
      <w:r>
        <w:rPr>
          <w:color w:val="000000"/>
          <w:sz w:val="20"/>
        </w:rPr>
        <w:t>orld Health Organization (WHO).</w:t>
      </w:r>
    </w:p>
    <w:p w14:paraId="510B2EE0" w14:textId="77777777" w:rsidR="003A4E84" w:rsidRPr="003A4E84" w:rsidRDefault="003A4E84" w:rsidP="007613B1">
      <w:pPr>
        <w:rPr>
          <w:color w:val="000000"/>
          <w:sz w:val="18"/>
        </w:rPr>
      </w:pPr>
    </w:p>
    <w:p w14:paraId="2E46D2BA" w14:textId="1A44AF45" w:rsidR="007613B1" w:rsidRDefault="00004136" w:rsidP="007613B1">
      <w:pPr>
        <w:rPr>
          <w:rFonts w:cs="Arial"/>
          <w:sz w:val="20"/>
          <w:szCs w:val="20"/>
          <w:shd w:val="clear" w:color="auto" w:fill="FFFFFF"/>
        </w:rPr>
      </w:pPr>
      <w:r w:rsidRPr="00004136">
        <w:rPr>
          <w:rFonts w:cs="Arial"/>
          <w:sz w:val="20"/>
          <w:szCs w:val="20"/>
          <w:shd w:val="clear" w:color="auto" w:fill="FFFFFF"/>
        </w:rPr>
        <w:t>Goesaert H, Leman P, Bijttebier A, Delcour JA (2009) Antifirming effects of starch degrading enzymes in bread crumb. J Agric Food Chem 57:2346-2355.</w:t>
      </w:r>
    </w:p>
    <w:p w14:paraId="05208611" w14:textId="7C1C5876" w:rsidR="00B25B82" w:rsidRPr="00B25B82" w:rsidRDefault="00B25B82" w:rsidP="00B25B82">
      <w:pPr>
        <w:rPr>
          <w:rFonts w:cs="Arial"/>
          <w:sz w:val="20"/>
          <w:szCs w:val="20"/>
          <w:shd w:val="clear" w:color="auto" w:fill="FFFFFF"/>
        </w:rPr>
      </w:pPr>
    </w:p>
    <w:p w14:paraId="4BC3EDCD" w14:textId="0FDECC6A" w:rsidR="00B25B82" w:rsidRPr="00B25B82" w:rsidRDefault="00B25B82" w:rsidP="00B25B82">
      <w:pPr>
        <w:rPr>
          <w:rFonts w:cs="Arial"/>
          <w:sz w:val="20"/>
          <w:szCs w:val="20"/>
          <w:shd w:val="clear" w:color="auto" w:fill="FFFFFF"/>
        </w:rPr>
      </w:pPr>
      <w:r w:rsidRPr="00B25B82">
        <w:rPr>
          <w:rFonts w:cs="Arial"/>
          <w:sz w:val="20"/>
          <w:szCs w:val="20"/>
          <w:shd w:val="clear" w:color="auto" w:fill="FFFFFF"/>
        </w:rPr>
        <w:t xml:space="preserve">IUBMB (2021) EC 3.2.1.133. </w:t>
      </w:r>
      <w:hyperlink r:id="rId25" w:history="1">
        <w:r w:rsidRPr="005A6ACB">
          <w:rPr>
            <w:rStyle w:val="Hyperlink"/>
            <w:rFonts w:cs="Arial"/>
            <w:sz w:val="20"/>
            <w:szCs w:val="20"/>
            <w:shd w:val="clear" w:color="auto" w:fill="FFFFFF"/>
          </w:rPr>
          <w:t>https://iubmb.qmul.ac.uk/enzyme/EC3/2/1/133.html</w:t>
        </w:r>
      </w:hyperlink>
      <w:r>
        <w:rPr>
          <w:rFonts w:cs="Arial"/>
          <w:sz w:val="20"/>
          <w:szCs w:val="20"/>
          <w:shd w:val="clear" w:color="auto" w:fill="FFFFFF"/>
        </w:rPr>
        <w:t xml:space="preserve"> </w:t>
      </w:r>
      <w:r w:rsidRPr="00B25B82">
        <w:rPr>
          <w:rFonts w:cs="Arial"/>
          <w:sz w:val="20"/>
          <w:szCs w:val="20"/>
          <w:shd w:val="clear" w:color="auto" w:fill="FFFFFF"/>
        </w:rPr>
        <w:t xml:space="preserve"> </w:t>
      </w:r>
    </w:p>
    <w:p w14:paraId="3686B115" w14:textId="77777777" w:rsidR="00B25B82" w:rsidRPr="00B25B82" w:rsidRDefault="00B25B82" w:rsidP="00B25B82">
      <w:pPr>
        <w:rPr>
          <w:rFonts w:cs="Arial"/>
          <w:sz w:val="20"/>
          <w:szCs w:val="20"/>
          <w:shd w:val="clear" w:color="auto" w:fill="FFFFFF"/>
        </w:rPr>
      </w:pPr>
    </w:p>
    <w:p w14:paraId="765968AC" w14:textId="1AFD205A" w:rsidR="00AB57B6" w:rsidRDefault="00926EA2" w:rsidP="007613B1">
      <w:pPr>
        <w:rPr>
          <w:rFonts w:cs="Arial"/>
          <w:sz w:val="20"/>
          <w:szCs w:val="20"/>
          <w:shd w:val="clear" w:color="auto" w:fill="FFFFFF"/>
        </w:rPr>
      </w:pPr>
      <w:r w:rsidRPr="003B2C28">
        <w:rPr>
          <w:rFonts w:cs="Arial"/>
          <w:sz w:val="20"/>
          <w:szCs w:val="20"/>
          <w:shd w:val="clear" w:color="auto" w:fill="FFFFFF"/>
        </w:rPr>
        <w:t>Jaffé A, Ogura T, Hiraga S (1985) Effects of the ccd function of the F plasmid on bacterial growth. J Bacteriol 163:841–849</w:t>
      </w:r>
      <w:r w:rsidR="00B1040C" w:rsidRPr="003B2C28">
        <w:rPr>
          <w:rFonts w:cs="Arial"/>
          <w:sz w:val="20"/>
          <w:szCs w:val="20"/>
          <w:shd w:val="clear" w:color="auto" w:fill="FFFFFF"/>
        </w:rPr>
        <w:t>.</w:t>
      </w:r>
    </w:p>
    <w:p w14:paraId="7BCEDBDB" w14:textId="4170A981" w:rsidR="00004136" w:rsidRDefault="00004136" w:rsidP="007613B1">
      <w:pPr>
        <w:rPr>
          <w:rFonts w:cs="Arial"/>
          <w:sz w:val="20"/>
          <w:szCs w:val="20"/>
          <w:lang w:bidi="ar-SA"/>
        </w:rPr>
      </w:pPr>
    </w:p>
    <w:p w14:paraId="422B1153" w14:textId="3D18846E" w:rsidR="00004136" w:rsidRDefault="00004136" w:rsidP="007613B1">
      <w:pPr>
        <w:rPr>
          <w:rFonts w:cs="Arial"/>
          <w:sz w:val="20"/>
          <w:szCs w:val="20"/>
          <w:lang w:bidi="ar-SA"/>
        </w:rPr>
      </w:pPr>
      <w:r w:rsidRPr="00004136">
        <w:rPr>
          <w:rFonts w:cs="Arial"/>
          <w:sz w:val="20"/>
          <w:szCs w:val="20"/>
          <w:lang w:bidi="ar-SA"/>
        </w:rPr>
        <w:t>Poulsen LK (2004) Allergy Assessment of foods or ingredients derived from biotechnology, gene modified organisms, or novel foods. Mol Nutr Food Res 48:413-423.</w:t>
      </w:r>
    </w:p>
    <w:p w14:paraId="709D56C3" w14:textId="10ABC851" w:rsidR="0098490F" w:rsidRDefault="0098490F" w:rsidP="007613B1">
      <w:pPr>
        <w:rPr>
          <w:rFonts w:cs="Arial"/>
          <w:sz w:val="20"/>
          <w:szCs w:val="20"/>
          <w:lang w:bidi="ar-SA"/>
        </w:rPr>
      </w:pPr>
    </w:p>
    <w:p w14:paraId="2930790F" w14:textId="1823231E" w:rsidR="0098490F" w:rsidRDefault="0098490F" w:rsidP="007613B1">
      <w:pPr>
        <w:rPr>
          <w:rFonts w:cs="Arial"/>
          <w:sz w:val="20"/>
          <w:szCs w:val="20"/>
          <w:lang w:bidi="ar-SA"/>
        </w:rPr>
      </w:pPr>
      <w:r>
        <w:rPr>
          <w:rFonts w:cs="Arial"/>
          <w:sz w:val="20"/>
          <w:szCs w:val="20"/>
          <w:lang w:bidi="ar-SA"/>
        </w:rPr>
        <w:t xml:space="preserve">Slominska </w:t>
      </w:r>
      <w:r w:rsidR="00586E64">
        <w:rPr>
          <w:rFonts w:cs="Arial"/>
          <w:sz w:val="20"/>
          <w:szCs w:val="20"/>
          <w:lang w:bidi="ar-SA"/>
        </w:rPr>
        <w:t xml:space="preserve">L </w:t>
      </w:r>
      <w:r>
        <w:rPr>
          <w:rFonts w:cs="Arial"/>
          <w:sz w:val="20"/>
          <w:szCs w:val="20"/>
          <w:lang w:bidi="ar-SA"/>
        </w:rPr>
        <w:t>(1989)</w:t>
      </w:r>
      <w:r w:rsidR="00586E64">
        <w:rPr>
          <w:rFonts w:cs="Arial"/>
          <w:sz w:val="20"/>
          <w:szCs w:val="20"/>
          <w:lang w:bidi="ar-SA"/>
        </w:rPr>
        <w:t xml:space="preserve"> </w:t>
      </w:r>
      <w:r w:rsidR="00586E64" w:rsidRPr="00586E64">
        <w:rPr>
          <w:rFonts w:cs="Arial"/>
          <w:sz w:val="20"/>
          <w:szCs w:val="20"/>
          <w:lang w:bidi="ar-SA"/>
        </w:rPr>
        <w:t>Enzymatic</w:t>
      </w:r>
      <w:r w:rsidR="00586E64">
        <w:rPr>
          <w:rFonts w:cs="Arial"/>
          <w:sz w:val="20"/>
          <w:szCs w:val="20"/>
          <w:lang w:bidi="ar-SA"/>
        </w:rPr>
        <w:t xml:space="preserve"> m</w:t>
      </w:r>
      <w:r w:rsidR="00586E64" w:rsidRPr="00586E64">
        <w:rPr>
          <w:rFonts w:cs="Arial"/>
          <w:sz w:val="20"/>
          <w:szCs w:val="20"/>
          <w:lang w:bidi="ar-SA"/>
        </w:rPr>
        <w:t xml:space="preserve">odification of </w:t>
      </w:r>
      <w:r w:rsidR="00586E64">
        <w:rPr>
          <w:rFonts w:cs="Arial"/>
          <w:sz w:val="20"/>
          <w:szCs w:val="20"/>
          <w:lang w:bidi="ar-SA"/>
        </w:rPr>
        <w:t>l</w:t>
      </w:r>
      <w:r w:rsidR="00586E64" w:rsidRPr="00586E64">
        <w:rPr>
          <w:rFonts w:cs="Arial"/>
          <w:sz w:val="20"/>
          <w:szCs w:val="20"/>
          <w:lang w:bidi="ar-SA"/>
        </w:rPr>
        <w:t xml:space="preserve">ow </w:t>
      </w:r>
      <w:r w:rsidR="00586E64">
        <w:rPr>
          <w:rFonts w:cs="Arial"/>
          <w:sz w:val="20"/>
          <w:szCs w:val="20"/>
          <w:lang w:bidi="ar-SA"/>
        </w:rPr>
        <w:t>c</w:t>
      </w:r>
      <w:r w:rsidR="00586E64" w:rsidRPr="00586E64">
        <w:rPr>
          <w:rFonts w:cs="Arial"/>
          <w:sz w:val="20"/>
          <w:szCs w:val="20"/>
          <w:lang w:bidi="ar-SA"/>
        </w:rPr>
        <w:t xml:space="preserve">onversion </w:t>
      </w:r>
      <w:r w:rsidR="00586E64">
        <w:rPr>
          <w:rFonts w:cs="Arial"/>
          <w:sz w:val="20"/>
          <w:szCs w:val="20"/>
          <w:lang w:bidi="ar-SA"/>
        </w:rPr>
        <w:t>s</w:t>
      </w:r>
      <w:r w:rsidR="00586E64" w:rsidRPr="00586E64">
        <w:rPr>
          <w:rFonts w:cs="Arial"/>
          <w:sz w:val="20"/>
          <w:szCs w:val="20"/>
          <w:lang w:bidi="ar-SA"/>
        </w:rPr>
        <w:t xml:space="preserve">tarch </w:t>
      </w:r>
      <w:r w:rsidR="00586E64">
        <w:rPr>
          <w:rFonts w:cs="Arial"/>
          <w:sz w:val="20"/>
          <w:szCs w:val="20"/>
          <w:lang w:bidi="ar-SA"/>
        </w:rPr>
        <w:t>p</w:t>
      </w:r>
      <w:r w:rsidR="00586E64" w:rsidRPr="00586E64">
        <w:rPr>
          <w:rFonts w:cs="Arial"/>
          <w:sz w:val="20"/>
          <w:szCs w:val="20"/>
          <w:lang w:bidi="ar-SA"/>
        </w:rPr>
        <w:t xml:space="preserve">roducts. </w:t>
      </w:r>
      <w:r w:rsidR="00586E64">
        <w:rPr>
          <w:rFonts w:cs="Arial"/>
          <w:sz w:val="20"/>
          <w:szCs w:val="20"/>
          <w:lang w:bidi="ar-SA"/>
        </w:rPr>
        <w:t>S</w:t>
      </w:r>
      <w:r w:rsidR="00586E64" w:rsidRPr="00586E64">
        <w:rPr>
          <w:rFonts w:cs="Arial"/>
          <w:sz w:val="20"/>
          <w:szCs w:val="20"/>
          <w:lang w:bidi="ar-SA"/>
        </w:rPr>
        <w:t>tarch</w:t>
      </w:r>
      <w:r w:rsidR="00586E64">
        <w:rPr>
          <w:rFonts w:cs="Arial"/>
          <w:sz w:val="20"/>
          <w:szCs w:val="20"/>
          <w:lang w:bidi="ar-SA"/>
        </w:rPr>
        <w:t xml:space="preserve"> </w:t>
      </w:r>
      <w:r w:rsidR="00586E64" w:rsidRPr="00586E64">
        <w:rPr>
          <w:rFonts w:cs="Arial"/>
          <w:sz w:val="20"/>
          <w:szCs w:val="20"/>
          <w:lang w:bidi="ar-SA"/>
        </w:rPr>
        <w:t>41</w:t>
      </w:r>
      <w:r w:rsidR="00586E64">
        <w:rPr>
          <w:rFonts w:cs="Arial"/>
          <w:sz w:val="20"/>
          <w:szCs w:val="20"/>
          <w:lang w:bidi="ar-SA"/>
        </w:rPr>
        <w:t>(</w:t>
      </w:r>
      <w:r w:rsidR="00586E64" w:rsidRPr="00586E64">
        <w:rPr>
          <w:rFonts w:cs="Arial"/>
          <w:sz w:val="20"/>
          <w:szCs w:val="20"/>
          <w:lang w:bidi="ar-SA"/>
        </w:rPr>
        <w:t>5</w:t>
      </w:r>
      <w:r w:rsidR="00586E64">
        <w:rPr>
          <w:rFonts w:cs="Arial"/>
          <w:sz w:val="20"/>
          <w:szCs w:val="20"/>
          <w:lang w:bidi="ar-SA"/>
        </w:rPr>
        <w:t>):1</w:t>
      </w:r>
      <w:r w:rsidR="00586E64" w:rsidRPr="00586E64">
        <w:rPr>
          <w:rFonts w:cs="Arial"/>
          <w:sz w:val="20"/>
          <w:szCs w:val="20"/>
          <w:lang w:bidi="ar-SA"/>
        </w:rPr>
        <w:t>80-183</w:t>
      </w:r>
      <w:r w:rsidR="00586E64">
        <w:rPr>
          <w:rFonts w:cs="Arial"/>
          <w:sz w:val="20"/>
          <w:szCs w:val="20"/>
          <w:lang w:bidi="ar-SA"/>
        </w:rPr>
        <w:t>.</w:t>
      </w:r>
    </w:p>
    <w:p w14:paraId="0653EF6E" w14:textId="77777777" w:rsidR="000B11DB" w:rsidRDefault="000B11DB" w:rsidP="007613B1">
      <w:pPr>
        <w:rPr>
          <w:rFonts w:cs="Arial"/>
          <w:sz w:val="20"/>
          <w:szCs w:val="20"/>
          <w:lang w:bidi="ar-SA"/>
        </w:rPr>
      </w:pPr>
    </w:p>
    <w:p w14:paraId="52FF15E5" w14:textId="138892A5" w:rsidR="000B11DB" w:rsidRDefault="000B11DB" w:rsidP="000B11DB">
      <w:pPr>
        <w:rPr>
          <w:rFonts w:cs="Arial"/>
          <w:sz w:val="20"/>
          <w:szCs w:val="20"/>
          <w:lang w:bidi="ar-SA"/>
        </w:rPr>
      </w:pPr>
      <w:r w:rsidRPr="000B11DB">
        <w:rPr>
          <w:rFonts w:cs="Arial"/>
          <w:sz w:val="20"/>
          <w:szCs w:val="20"/>
          <w:lang w:bidi="ar-SA"/>
        </w:rPr>
        <w:t>Szpirer CY, Milinkovitch MC (2005) Separate-component-stabilization system for protein and DNA production without the use of antibiotics. Biotechniques. 38(5):775-81</w:t>
      </w:r>
      <w:r w:rsidR="00586E64">
        <w:rPr>
          <w:rFonts w:cs="Arial"/>
          <w:sz w:val="20"/>
          <w:szCs w:val="20"/>
          <w:lang w:bidi="ar-SA"/>
        </w:rPr>
        <w:t>.</w:t>
      </w:r>
    </w:p>
    <w:p w14:paraId="796E82A7" w14:textId="25A32662" w:rsidR="00B25B82" w:rsidRDefault="00B25B82" w:rsidP="000B11DB">
      <w:pPr>
        <w:rPr>
          <w:rFonts w:cs="Arial"/>
          <w:sz w:val="20"/>
          <w:szCs w:val="20"/>
          <w:lang w:bidi="ar-SA"/>
        </w:rPr>
      </w:pPr>
    </w:p>
    <w:p w14:paraId="7E063666" w14:textId="302393C7" w:rsidR="00B25B82" w:rsidRDefault="00B25B82" w:rsidP="00B25B82">
      <w:pPr>
        <w:rPr>
          <w:rFonts w:cs="Arial"/>
          <w:sz w:val="20"/>
          <w:szCs w:val="20"/>
          <w:shd w:val="clear" w:color="auto" w:fill="FFFFFF"/>
        </w:rPr>
      </w:pPr>
      <w:r w:rsidRPr="00B25B82">
        <w:rPr>
          <w:rFonts w:cs="Arial"/>
          <w:sz w:val="20"/>
          <w:szCs w:val="20"/>
          <w:shd w:val="clear" w:color="auto" w:fill="FFFFFF"/>
        </w:rPr>
        <w:t xml:space="preserve">The United States Pharmacopeia (2020) Food Chemicals Codex 12th Edition, United States Pharmacopeial Convention, Rockville, MD. </w:t>
      </w:r>
      <w:hyperlink r:id="rId26" w:history="1">
        <w:r w:rsidRPr="005A6ACB">
          <w:rPr>
            <w:rStyle w:val="Hyperlink"/>
            <w:rFonts w:cs="Arial"/>
            <w:sz w:val="20"/>
            <w:szCs w:val="20"/>
            <w:shd w:val="clear" w:color="auto" w:fill="FFFFFF"/>
          </w:rPr>
          <w:t>http://publications.usp.org/</w:t>
        </w:r>
      </w:hyperlink>
      <w:r>
        <w:rPr>
          <w:rFonts w:cs="Arial"/>
          <w:sz w:val="20"/>
          <w:szCs w:val="20"/>
          <w:shd w:val="clear" w:color="auto" w:fill="FFFFFF"/>
        </w:rPr>
        <w:t xml:space="preserve"> </w:t>
      </w:r>
    </w:p>
    <w:p w14:paraId="2FBF26CC" w14:textId="77777777" w:rsidR="00B25B82" w:rsidRDefault="00B25B82" w:rsidP="000B11DB">
      <w:pPr>
        <w:rPr>
          <w:rFonts w:cs="Arial"/>
          <w:sz w:val="20"/>
          <w:szCs w:val="20"/>
          <w:lang w:bidi="ar-SA"/>
        </w:rPr>
      </w:pPr>
    </w:p>
    <w:p w14:paraId="1FB4FCA0" w14:textId="77777777" w:rsidR="00B25B82" w:rsidRDefault="00B25B82" w:rsidP="00B25B82">
      <w:pPr>
        <w:rPr>
          <w:rFonts w:cs="Arial"/>
          <w:sz w:val="20"/>
          <w:szCs w:val="20"/>
          <w:lang w:bidi="ar-SA"/>
        </w:rPr>
      </w:pPr>
      <w:r w:rsidRPr="00BA16A6">
        <w:rPr>
          <w:rFonts w:cs="Arial"/>
          <w:sz w:val="20"/>
          <w:szCs w:val="20"/>
          <w:lang w:bidi="ar-SA"/>
        </w:rPr>
        <w:t>van der Maarel</w:t>
      </w:r>
      <w:r>
        <w:rPr>
          <w:rFonts w:cs="Arial"/>
          <w:sz w:val="20"/>
          <w:szCs w:val="20"/>
          <w:lang w:bidi="ar-SA"/>
        </w:rPr>
        <w:t xml:space="preserve"> MJEC</w:t>
      </w:r>
      <w:r w:rsidRPr="00BA16A6">
        <w:rPr>
          <w:rFonts w:cs="Arial"/>
          <w:sz w:val="20"/>
          <w:szCs w:val="20"/>
          <w:lang w:bidi="ar-SA"/>
        </w:rPr>
        <w:t>, van der Veen</w:t>
      </w:r>
      <w:r>
        <w:rPr>
          <w:rFonts w:cs="Arial"/>
          <w:sz w:val="20"/>
          <w:szCs w:val="20"/>
          <w:lang w:bidi="ar-SA"/>
        </w:rPr>
        <w:t xml:space="preserve"> B</w:t>
      </w:r>
      <w:r w:rsidRPr="00BA16A6">
        <w:rPr>
          <w:rFonts w:cs="Arial"/>
          <w:sz w:val="20"/>
          <w:szCs w:val="20"/>
          <w:lang w:bidi="ar-SA"/>
        </w:rPr>
        <w:t>, Uitdehaag</w:t>
      </w:r>
      <w:r>
        <w:rPr>
          <w:rFonts w:cs="Arial"/>
          <w:sz w:val="20"/>
          <w:szCs w:val="20"/>
          <w:lang w:bidi="ar-SA"/>
        </w:rPr>
        <w:t xml:space="preserve"> JCM,</w:t>
      </w:r>
      <w:r w:rsidRPr="00BA16A6">
        <w:rPr>
          <w:rFonts w:cs="Arial"/>
          <w:sz w:val="20"/>
          <w:szCs w:val="20"/>
          <w:lang w:bidi="ar-SA"/>
        </w:rPr>
        <w:t xml:space="preserve"> Leemhuis</w:t>
      </w:r>
      <w:r>
        <w:rPr>
          <w:rFonts w:cs="Arial"/>
          <w:sz w:val="20"/>
          <w:szCs w:val="20"/>
          <w:lang w:bidi="ar-SA"/>
        </w:rPr>
        <w:t xml:space="preserve"> H</w:t>
      </w:r>
      <w:r w:rsidRPr="00BA16A6">
        <w:rPr>
          <w:rFonts w:cs="Arial"/>
          <w:sz w:val="20"/>
          <w:szCs w:val="20"/>
          <w:lang w:bidi="ar-SA"/>
        </w:rPr>
        <w:t>, Dijkhuizen</w:t>
      </w:r>
      <w:r>
        <w:rPr>
          <w:rFonts w:cs="Arial"/>
          <w:sz w:val="20"/>
          <w:szCs w:val="20"/>
          <w:lang w:bidi="ar-SA"/>
        </w:rPr>
        <w:t xml:space="preserve"> L (2002)</w:t>
      </w:r>
      <w:r w:rsidRPr="00BA16A6">
        <w:rPr>
          <w:rFonts w:cs="Arial"/>
          <w:sz w:val="20"/>
          <w:szCs w:val="20"/>
          <w:lang w:bidi="ar-SA"/>
        </w:rPr>
        <w:t xml:space="preserve"> Properties and applications of starch-c</w:t>
      </w:r>
      <w:r>
        <w:rPr>
          <w:rFonts w:cs="Arial"/>
          <w:sz w:val="20"/>
          <w:szCs w:val="20"/>
          <w:lang w:bidi="ar-SA"/>
        </w:rPr>
        <w:t>onverting enzymes of the α-</w:t>
      </w:r>
      <w:r w:rsidRPr="00BA16A6">
        <w:rPr>
          <w:rFonts w:cs="Arial"/>
          <w:sz w:val="20"/>
          <w:szCs w:val="20"/>
          <w:lang w:bidi="ar-SA"/>
        </w:rPr>
        <w:t>amylase family</w:t>
      </w:r>
      <w:r>
        <w:rPr>
          <w:rFonts w:cs="Arial"/>
          <w:sz w:val="20"/>
          <w:szCs w:val="20"/>
          <w:lang w:bidi="ar-SA"/>
        </w:rPr>
        <w:t>.</w:t>
      </w:r>
      <w:r w:rsidRPr="00BA16A6">
        <w:rPr>
          <w:rFonts w:cs="Arial"/>
          <w:sz w:val="20"/>
          <w:szCs w:val="20"/>
          <w:lang w:bidi="ar-SA"/>
        </w:rPr>
        <w:t xml:space="preserve"> J Biotech</w:t>
      </w:r>
      <w:r>
        <w:rPr>
          <w:rFonts w:cs="Arial"/>
          <w:sz w:val="20"/>
          <w:szCs w:val="20"/>
          <w:lang w:bidi="ar-SA"/>
        </w:rPr>
        <w:t xml:space="preserve"> </w:t>
      </w:r>
      <w:r w:rsidRPr="00BA16A6">
        <w:rPr>
          <w:rFonts w:cs="Arial"/>
          <w:sz w:val="20"/>
          <w:szCs w:val="20"/>
          <w:lang w:bidi="ar-SA"/>
        </w:rPr>
        <w:t>94</w:t>
      </w:r>
      <w:r>
        <w:rPr>
          <w:rFonts w:cs="Arial"/>
          <w:sz w:val="20"/>
          <w:szCs w:val="20"/>
          <w:lang w:bidi="ar-SA"/>
        </w:rPr>
        <w:t>:</w:t>
      </w:r>
      <w:r w:rsidRPr="00BA16A6">
        <w:rPr>
          <w:rFonts w:cs="Arial"/>
          <w:sz w:val="20"/>
          <w:szCs w:val="20"/>
          <w:lang w:bidi="ar-SA"/>
        </w:rPr>
        <w:t>137-155</w:t>
      </w:r>
      <w:r>
        <w:rPr>
          <w:rFonts w:cs="Arial"/>
          <w:sz w:val="20"/>
          <w:szCs w:val="20"/>
          <w:lang w:bidi="ar-SA"/>
        </w:rPr>
        <w:t>.</w:t>
      </w:r>
    </w:p>
    <w:p w14:paraId="7F043F03" w14:textId="572B35E3" w:rsidR="00B25B82" w:rsidRPr="000B11DB" w:rsidRDefault="00B25B82" w:rsidP="000B11DB">
      <w:pPr>
        <w:rPr>
          <w:rFonts w:cs="Arial"/>
          <w:sz w:val="20"/>
          <w:szCs w:val="20"/>
          <w:lang w:bidi="ar-SA"/>
        </w:rPr>
      </w:pPr>
      <w:r>
        <w:rPr>
          <w:rFonts w:cs="Arial"/>
          <w:sz w:val="20"/>
          <w:szCs w:val="20"/>
          <w:lang w:bidi="ar-SA"/>
        </w:rPr>
        <w:t xml:space="preserve"> </w:t>
      </w:r>
    </w:p>
    <w:p w14:paraId="34CA5882" w14:textId="77777777" w:rsidR="000B11DB" w:rsidRPr="003B2C28" w:rsidRDefault="000B11DB" w:rsidP="007613B1">
      <w:pPr>
        <w:rPr>
          <w:rFonts w:cs="Arial"/>
          <w:sz w:val="20"/>
          <w:szCs w:val="20"/>
          <w:lang w:bidi="ar-SA"/>
        </w:rPr>
      </w:pPr>
    </w:p>
    <w:sectPr w:rsidR="000B11DB" w:rsidRPr="003B2C28"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FBDBF" w14:textId="77777777" w:rsidR="00030D50" w:rsidRDefault="00030D50">
      <w:r>
        <w:separator/>
      </w:r>
    </w:p>
  </w:endnote>
  <w:endnote w:type="continuationSeparator" w:id="0">
    <w:p w14:paraId="06C8F8D4" w14:textId="77777777" w:rsidR="00030D50" w:rsidRDefault="00030D50">
      <w:r>
        <w:continuationSeparator/>
      </w:r>
    </w:p>
  </w:endnote>
  <w:endnote w:type="continuationNotice" w:id="1">
    <w:p w14:paraId="514FE88B" w14:textId="77777777" w:rsidR="00030D50" w:rsidRDefault="0003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13EA" w14:textId="1BED4C25" w:rsidR="00030D50" w:rsidRDefault="00030D50" w:rsidP="00F05CA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463B11B" w14:textId="77777777" w:rsidR="00030D50" w:rsidRDefault="00030D50" w:rsidP="002C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4B9C" w14:textId="580A5EE3" w:rsidR="00030D50" w:rsidRDefault="00030D5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A0B">
      <w:rPr>
        <w:rStyle w:val="PageNumber"/>
        <w:noProof/>
      </w:rPr>
      <w:t>i</w:t>
    </w:r>
    <w:r>
      <w:rPr>
        <w:rStyle w:val="PageNumber"/>
      </w:rPr>
      <w:fldChar w:fldCharType="end"/>
    </w:r>
  </w:p>
  <w:p w14:paraId="7FCE60C8" w14:textId="77777777" w:rsidR="00030D50" w:rsidRDefault="00030D50" w:rsidP="002C15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3F51" w14:textId="77777777" w:rsidR="00030D50" w:rsidRDefault="00030D50">
      <w:r>
        <w:separator/>
      </w:r>
    </w:p>
  </w:footnote>
  <w:footnote w:type="continuationSeparator" w:id="0">
    <w:p w14:paraId="6BF4FBC5" w14:textId="77777777" w:rsidR="00030D50" w:rsidRDefault="00030D50">
      <w:r>
        <w:continuationSeparator/>
      </w:r>
    </w:p>
  </w:footnote>
  <w:footnote w:type="continuationNotice" w:id="1">
    <w:p w14:paraId="2A28F32F" w14:textId="77777777" w:rsidR="00030D50" w:rsidRDefault="00030D50"/>
  </w:footnote>
  <w:footnote w:id="2">
    <w:p w14:paraId="5F93FA9B" w14:textId="58649F4B" w:rsidR="00030D50" w:rsidRPr="009D0C96" w:rsidRDefault="00030D50">
      <w:pPr>
        <w:pStyle w:val="FootnoteText"/>
        <w:rPr>
          <w:sz w:val="18"/>
          <w:lang w:val="en-AU"/>
        </w:rPr>
      </w:pPr>
      <w:r>
        <w:rPr>
          <w:rStyle w:val="FootnoteReference"/>
        </w:rPr>
        <w:footnoteRef/>
      </w:r>
      <w:r>
        <w:t xml:space="preserve"> </w:t>
      </w:r>
      <w:r w:rsidRPr="009D0C96">
        <w:rPr>
          <w:sz w:val="18"/>
        </w:rPr>
        <w:t xml:space="preserve">Application A1210 at </w:t>
      </w:r>
      <w:hyperlink r:id="rId1" w:history="1">
        <w:r w:rsidRPr="009D0C96">
          <w:rPr>
            <w:rStyle w:val="Hyperlink"/>
            <w:sz w:val="18"/>
          </w:rPr>
          <w:t>https://www.foodstandards.gov.au/code/applications/Pages/A1210.aspx</w:t>
        </w:r>
      </w:hyperlink>
      <w:r w:rsidRPr="009D0C96">
        <w:rPr>
          <w:sz w:val="18"/>
        </w:rPr>
        <w:t xml:space="preserve"> </w:t>
      </w:r>
    </w:p>
  </w:footnote>
  <w:footnote w:id="3">
    <w:p w14:paraId="46C9E63D" w14:textId="77777777" w:rsidR="00030D50" w:rsidRPr="00CD2D7C" w:rsidRDefault="00030D50" w:rsidP="00CB6844">
      <w:pPr>
        <w:pStyle w:val="FootnoteText"/>
        <w:rPr>
          <w:sz w:val="18"/>
          <w:szCs w:val="18"/>
          <w:lang w:val="en-AU"/>
        </w:rPr>
      </w:pPr>
      <w:r w:rsidRPr="00CD2D7C">
        <w:rPr>
          <w:rStyle w:val="FootnoteReference"/>
          <w:sz w:val="18"/>
          <w:szCs w:val="18"/>
        </w:rPr>
        <w:footnoteRef/>
      </w:r>
      <w:r w:rsidRPr="00CD2D7C">
        <w:rPr>
          <w:sz w:val="18"/>
          <w:szCs w:val="18"/>
        </w:rPr>
        <w:t xml:space="preserve"> International Union of Biochemistry and Molecular Biology.</w:t>
      </w:r>
    </w:p>
  </w:footnote>
  <w:footnote w:id="4">
    <w:p w14:paraId="1A6DC5C4" w14:textId="1182257B" w:rsidR="00030D50" w:rsidRPr="00D2768A" w:rsidRDefault="00030D50" w:rsidP="00626316">
      <w:pPr>
        <w:pStyle w:val="FootnoteText"/>
        <w:rPr>
          <w:lang w:val="en-AU"/>
        </w:rPr>
      </w:pPr>
      <w:r w:rsidRPr="00CD2D7C">
        <w:rPr>
          <w:rStyle w:val="FootnoteReference"/>
          <w:sz w:val="18"/>
          <w:szCs w:val="18"/>
        </w:rPr>
        <w:footnoteRef/>
      </w:r>
      <w:r w:rsidRPr="00CD2D7C">
        <w:rPr>
          <w:sz w:val="18"/>
          <w:szCs w:val="18"/>
        </w:rPr>
        <w:t xml:space="preserve"> Although the term </w:t>
      </w:r>
      <w:r w:rsidRPr="00CD2D7C">
        <w:rPr>
          <w:sz w:val="18"/>
          <w:szCs w:val="18"/>
          <w:lang w:val="en-AU"/>
        </w:rPr>
        <w:t>that is used throughout the application, this document and the Call for Submissions is ‘</w:t>
      </w:r>
      <w:r>
        <w:rPr>
          <w:sz w:val="18"/>
          <w:szCs w:val="18"/>
          <w:lang w:val="en-AU"/>
        </w:rPr>
        <w:t xml:space="preserve">maltogenic </w:t>
      </w:r>
      <w:r w:rsidRPr="00CD2D7C">
        <w:rPr>
          <w:sz w:val="18"/>
          <w:szCs w:val="18"/>
          <w:lang w:val="en-AU"/>
        </w:rPr>
        <w:t>alpha</w:t>
      </w:r>
      <w:r>
        <w:rPr>
          <w:sz w:val="18"/>
          <w:szCs w:val="18"/>
          <w:lang w:val="en-AU"/>
        </w:rPr>
        <w:t xml:space="preserve"> </w:t>
      </w:r>
      <w:r w:rsidRPr="00CD2D7C">
        <w:rPr>
          <w:sz w:val="18"/>
          <w:szCs w:val="18"/>
          <w:lang w:val="en-AU"/>
        </w:rPr>
        <w:t>amylase’, the term that will be used in the proposed draft variation to the Code for this enzyme is ‘</w:t>
      </w:r>
      <w:r>
        <w:rPr>
          <w:sz w:val="18"/>
          <w:szCs w:val="18"/>
          <w:lang w:val="en-AU"/>
        </w:rPr>
        <w:t xml:space="preserve">maltogenic </w:t>
      </w:r>
      <w:r w:rsidRPr="00CD2D7C">
        <w:rPr>
          <w:sz w:val="18"/>
          <w:szCs w:val="18"/>
          <w:lang w:val="en-AU"/>
        </w:rPr>
        <w:t>α-amylase’, as this will</w:t>
      </w:r>
      <w:r>
        <w:rPr>
          <w:sz w:val="18"/>
          <w:szCs w:val="18"/>
          <w:lang w:val="en-AU"/>
        </w:rPr>
        <w:t xml:space="preserve"> </w:t>
      </w:r>
      <w:r w:rsidRPr="00CD2D7C">
        <w:rPr>
          <w:sz w:val="18"/>
          <w:szCs w:val="18"/>
          <w:lang w:val="en-AU"/>
        </w:rPr>
        <w:t>ensure consistency with existing permissions in Schedule 18 of the Code.</w:t>
      </w:r>
    </w:p>
  </w:footnote>
  <w:footnote w:id="5">
    <w:p w14:paraId="72BB718D" w14:textId="77777777" w:rsidR="00030D50" w:rsidRPr="006D0450" w:rsidRDefault="00030D50" w:rsidP="00CB6844">
      <w:pPr>
        <w:pStyle w:val="FootnoteText"/>
        <w:rPr>
          <w:lang w:val="en-AU"/>
        </w:rPr>
      </w:pPr>
      <w:r>
        <w:rPr>
          <w:rStyle w:val="FootnoteReference"/>
        </w:rPr>
        <w:footnoteRef/>
      </w:r>
      <w:r>
        <w:t xml:space="preserve"> </w:t>
      </w:r>
      <w:r w:rsidRPr="00E33B6D">
        <w:rPr>
          <w:sz w:val="18"/>
          <w:szCs w:val="18"/>
          <w:lang w:val="en-AU"/>
        </w:rPr>
        <w:t>Chemical Abstracts Service.</w:t>
      </w:r>
      <w:r>
        <w:rPr>
          <w:lang w:val="en-AU"/>
        </w:rPr>
        <w:t xml:space="preserve"> </w:t>
      </w:r>
    </w:p>
  </w:footnote>
  <w:footnote w:id="6">
    <w:p w14:paraId="76310F36" w14:textId="77777777" w:rsidR="00030D50" w:rsidRPr="009D0C96" w:rsidRDefault="00030D50" w:rsidP="00845AA0">
      <w:pPr>
        <w:pStyle w:val="FootnoteText"/>
        <w:rPr>
          <w:sz w:val="18"/>
          <w:szCs w:val="18"/>
          <w:lang w:val="en-AU"/>
        </w:rPr>
      </w:pPr>
      <w:r w:rsidRPr="009D0C96">
        <w:rPr>
          <w:rStyle w:val="FootnoteReference"/>
          <w:sz w:val="18"/>
          <w:szCs w:val="18"/>
        </w:rPr>
        <w:footnoteRef/>
      </w:r>
      <w:r w:rsidRPr="009D0C96">
        <w:rPr>
          <w:sz w:val="18"/>
          <w:szCs w:val="18"/>
        </w:rPr>
        <w:t xml:space="preserve"> A compositional analysis of three batches determined TOS (%) values of 83.79, 84.82 and 85.57.</w:t>
      </w:r>
    </w:p>
  </w:footnote>
  <w:footnote w:id="7">
    <w:p w14:paraId="7BBB9A67" w14:textId="0146F8C1" w:rsidR="00030D50" w:rsidRPr="00845AA0" w:rsidRDefault="00030D50">
      <w:pPr>
        <w:pStyle w:val="FootnoteText"/>
        <w:rPr>
          <w:lang w:val="en-AU"/>
        </w:rPr>
      </w:pPr>
      <w:r w:rsidRPr="009D0C96">
        <w:rPr>
          <w:rStyle w:val="FootnoteReference"/>
          <w:sz w:val="18"/>
          <w:szCs w:val="18"/>
        </w:rPr>
        <w:footnoteRef/>
      </w:r>
      <w:r w:rsidRPr="009D0C96">
        <w:rPr>
          <w:sz w:val="18"/>
          <w:szCs w:val="18"/>
        </w:rPr>
        <w:t xml:space="preserve"> The number of monomer units in the polymer.</w:t>
      </w:r>
    </w:p>
  </w:footnote>
  <w:footnote w:id="8">
    <w:p w14:paraId="3EE93992" w14:textId="375F55A1" w:rsidR="00030D50" w:rsidRPr="00CD4F23" w:rsidRDefault="00030D50">
      <w:pPr>
        <w:pStyle w:val="FootnoteText"/>
        <w:rPr>
          <w:sz w:val="18"/>
          <w:szCs w:val="18"/>
          <w:lang w:val="en-AU"/>
        </w:rPr>
      </w:pPr>
      <w:r w:rsidRPr="00CD4F23">
        <w:rPr>
          <w:rStyle w:val="FootnoteReference"/>
          <w:sz w:val="18"/>
          <w:szCs w:val="18"/>
        </w:rPr>
        <w:footnoteRef/>
      </w:r>
      <w:r w:rsidRPr="00CD4F23">
        <w:rPr>
          <w:sz w:val="18"/>
          <w:szCs w:val="18"/>
        </w:rPr>
        <w:t xml:space="preserve"> </w:t>
      </w:r>
      <w:r w:rsidRPr="00CD4F23">
        <w:rPr>
          <w:sz w:val="18"/>
          <w:szCs w:val="18"/>
          <w:lang w:val="en-AU"/>
        </w:rPr>
        <w:t>Milk, eggs, fish, crustacean shellfish, tree nuts, peanuts, wheat and soybeans.</w:t>
      </w:r>
    </w:p>
  </w:footnote>
  <w:footnote w:id="9">
    <w:p w14:paraId="00EA0343" w14:textId="0CA6E8C8" w:rsidR="00030D50" w:rsidRPr="00CD4F23" w:rsidRDefault="00030D50">
      <w:pPr>
        <w:pStyle w:val="FootnoteText"/>
        <w:rPr>
          <w:sz w:val="18"/>
          <w:szCs w:val="18"/>
          <w:lang w:val="en-AU"/>
        </w:rPr>
      </w:pPr>
      <w:r w:rsidRPr="00CD4F23">
        <w:rPr>
          <w:rStyle w:val="FootnoteReference"/>
          <w:sz w:val="18"/>
          <w:szCs w:val="18"/>
        </w:rPr>
        <w:footnoteRef/>
      </w:r>
      <w:r w:rsidRPr="00CD4F23">
        <w:rPr>
          <w:sz w:val="18"/>
          <w:szCs w:val="18"/>
        </w:rPr>
        <w:t xml:space="preserve"> Application A1210 was gazetted on 20 September 2021.</w:t>
      </w:r>
    </w:p>
  </w:footnote>
  <w:footnote w:id="10">
    <w:p w14:paraId="218C9CE6" w14:textId="42E37981" w:rsidR="00030D50" w:rsidRPr="00CD4F23" w:rsidRDefault="00030D50" w:rsidP="00F43EB2">
      <w:pPr>
        <w:pStyle w:val="FootnoteText"/>
        <w:rPr>
          <w:sz w:val="18"/>
          <w:szCs w:val="18"/>
          <w:lang w:val="en-AU"/>
        </w:rPr>
      </w:pPr>
      <w:r w:rsidRPr="00CD4F23">
        <w:rPr>
          <w:rStyle w:val="FootnoteReference"/>
          <w:sz w:val="18"/>
          <w:szCs w:val="18"/>
        </w:rPr>
        <w:footnoteRef/>
      </w:r>
      <w:r w:rsidRPr="00CD4F23">
        <w:rPr>
          <w:sz w:val="18"/>
          <w:szCs w:val="18"/>
        </w:rPr>
        <w:t xml:space="preserve"> </w:t>
      </w:r>
      <w:r w:rsidRPr="00CD4F23">
        <w:rPr>
          <w:sz w:val="18"/>
          <w:szCs w:val="18"/>
          <w:lang w:val="en-AU"/>
        </w:rPr>
        <w:t xml:space="preserve">Application A1211 is running concurrently with this application. </w:t>
      </w:r>
    </w:p>
  </w:footnote>
  <w:footnote w:id="11">
    <w:p w14:paraId="57A6C19C" w14:textId="4199C17D" w:rsidR="00030D50" w:rsidRPr="00CD4F23" w:rsidRDefault="00030D50" w:rsidP="00040B8D">
      <w:pPr>
        <w:pStyle w:val="FootnoteText"/>
        <w:rPr>
          <w:sz w:val="18"/>
          <w:szCs w:val="18"/>
          <w:lang w:val="en-AU"/>
        </w:rPr>
      </w:pPr>
      <w:r w:rsidRPr="00CD4F23">
        <w:rPr>
          <w:rStyle w:val="FootnoteReference"/>
          <w:sz w:val="18"/>
          <w:szCs w:val="18"/>
        </w:rPr>
        <w:footnoteRef/>
      </w:r>
      <w:r w:rsidRPr="00CD4F23">
        <w:rPr>
          <w:sz w:val="18"/>
          <w:szCs w:val="18"/>
        </w:rPr>
        <w:t xml:space="preserve"> DBETH database: </w:t>
      </w:r>
      <w:hyperlink r:id="rId2" w:history="1">
        <w:r w:rsidRPr="00CD4F23">
          <w:rPr>
            <w:rStyle w:val="Hyperlink"/>
            <w:sz w:val="18"/>
            <w:szCs w:val="18"/>
          </w:rPr>
          <w:t>http://www.hpppi.iicb.res.in/btox/</w:t>
        </w:r>
      </w:hyperlink>
    </w:p>
  </w:footnote>
  <w:footnote w:id="12">
    <w:p w14:paraId="6D9F1F83" w14:textId="4FF8E6DA" w:rsidR="00030D50" w:rsidRPr="00CD4F23" w:rsidRDefault="00030D50">
      <w:pPr>
        <w:pStyle w:val="FootnoteText"/>
        <w:rPr>
          <w:sz w:val="18"/>
          <w:szCs w:val="18"/>
          <w:lang w:val="en-AU"/>
        </w:rPr>
      </w:pPr>
      <w:r w:rsidRPr="00CD4F23">
        <w:rPr>
          <w:rStyle w:val="FootnoteReference"/>
          <w:sz w:val="18"/>
          <w:szCs w:val="18"/>
        </w:rPr>
        <w:footnoteRef/>
      </w:r>
      <w:r w:rsidRPr="00CD4F23">
        <w:rPr>
          <w:sz w:val="18"/>
          <w:szCs w:val="18"/>
        </w:rPr>
        <w:t xml:space="preserve"> </w:t>
      </w:r>
      <w:r w:rsidRPr="00CD4F23">
        <w:rPr>
          <w:sz w:val="18"/>
          <w:szCs w:val="18"/>
          <w:lang w:val="en-AU"/>
        </w:rPr>
        <w:t xml:space="preserve">UniProt database: </w:t>
      </w:r>
      <w:hyperlink r:id="rId3" w:history="1">
        <w:r w:rsidRPr="00CD4F23">
          <w:rPr>
            <w:rStyle w:val="Hyperlink"/>
            <w:sz w:val="18"/>
            <w:szCs w:val="18"/>
            <w:lang w:val="en-AU"/>
          </w:rPr>
          <w:t>https://www.uniprot.org/</w:t>
        </w:r>
      </w:hyperlink>
    </w:p>
  </w:footnote>
  <w:footnote w:id="13">
    <w:p w14:paraId="79718616" w14:textId="781EFFE7" w:rsidR="00030D50" w:rsidRPr="00B64E2A" w:rsidRDefault="00030D50">
      <w:pPr>
        <w:pStyle w:val="FootnoteText"/>
        <w:rPr>
          <w:lang w:val="en-AU"/>
        </w:rPr>
      </w:pPr>
      <w:r w:rsidRPr="00CD4F23">
        <w:rPr>
          <w:rStyle w:val="FootnoteReference"/>
          <w:sz w:val="18"/>
          <w:szCs w:val="18"/>
        </w:rPr>
        <w:footnoteRef/>
      </w:r>
      <w:r w:rsidRPr="00CD4F23">
        <w:rPr>
          <w:sz w:val="18"/>
          <w:szCs w:val="18"/>
        </w:rPr>
        <w:t xml:space="preserve"> The E value (or Expect value) indicates the significance of a match found when searching a sequence database. The closer an E value gets to zero, the less likely an alignment could have been produced by chance.</w:t>
      </w:r>
    </w:p>
  </w:footnote>
  <w:footnote w:id="14">
    <w:p w14:paraId="7DBD825C" w14:textId="57CC4C3F" w:rsidR="00030D50" w:rsidRDefault="00030D50" w:rsidP="0009433E">
      <w:pPr>
        <w:pStyle w:val="CommentText"/>
      </w:pPr>
      <w:r>
        <w:rPr>
          <w:rStyle w:val="FootnoteReference"/>
        </w:rPr>
        <w:footnoteRef/>
      </w:r>
      <w:r>
        <w:t xml:space="preserve"> As outlined in the OECD TG 423, no observed mortality at the dose limit of 2000 mg/kg bw is suggestive of an LD50 being 5000 mg/kg bw or above. </w:t>
      </w:r>
    </w:p>
    <w:p w14:paraId="3ABC8B98" w14:textId="4807402E" w:rsidR="00030D50" w:rsidRPr="0009433E" w:rsidRDefault="00030D50">
      <w:pPr>
        <w:pStyle w:val="FootnoteText"/>
        <w:rPr>
          <w:lang w:val="en-AU"/>
        </w:rPr>
      </w:pPr>
    </w:p>
  </w:footnote>
  <w:footnote w:id="15">
    <w:p w14:paraId="129FDFD6" w14:textId="77777777" w:rsidR="00030D50" w:rsidRPr="00CD4F23" w:rsidRDefault="00030D50" w:rsidP="003A4EF2">
      <w:pPr>
        <w:pStyle w:val="FootnoteText"/>
        <w:rPr>
          <w:sz w:val="18"/>
          <w:szCs w:val="18"/>
          <w:lang w:val="en-AU"/>
        </w:rPr>
      </w:pPr>
      <w:r w:rsidRPr="00CD4F23">
        <w:rPr>
          <w:rStyle w:val="FootnoteReference"/>
          <w:sz w:val="18"/>
          <w:szCs w:val="18"/>
        </w:rPr>
        <w:footnoteRef/>
      </w:r>
      <w:r w:rsidRPr="00CD4F23">
        <w:rPr>
          <w:sz w:val="18"/>
          <w:szCs w:val="18"/>
        </w:rPr>
        <w:t xml:space="preserve"> AllergenOnline: </w:t>
      </w:r>
      <w:hyperlink r:id="rId4" w:history="1">
        <w:r w:rsidRPr="00CD4F23">
          <w:rPr>
            <w:rStyle w:val="Hyperlink"/>
            <w:sz w:val="18"/>
            <w:szCs w:val="18"/>
          </w:rPr>
          <w:t>http://www.allergenonline.org/</w:t>
        </w:r>
      </w:hyperlink>
    </w:p>
  </w:footnote>
  <w:footnote w:id="16">
    <w:p w14:paraId="4A664171" w14:textId="77777777" w:rsidR="00030D50" w:rsidRPr="002A3FFB" w:rsidRDefault="00030D50" w:rsidP="00CF03D6">
      <w:pPr>
        <w:pStyle w:val="FootnoteText"/>
        <w:rPr>
          <w:lang w:val="en-AU"/>
        </w:rPr>
      </w:pPr>
      <w:r w:rsidRPr="00CD4F23">
        <w:rPr>
          <w:rStyle w:val="FootnoteReference"/>
          <w:sz w:val="18"/>
          <w:szCs w:val="18"/>
        </w:rPr>
        <w:footnoteRef/>
      </w:r>
      <w:r w:rsidRPr="00CD4F23">
        <w:rPr>
          <w:sz w:val="18"/>
          <w:szCs w:val="18"/>
        </w:rPr>
        <w:t xml:space="preserve"> World Health Organization and International Union of Immunological Societies (WHO/IUIS) Allergen Nomenclature Sub-committee: </w:t>
      </w:r>
      <w:hyperlink r:id="rId5" w:history="1">
        <w:r w:rsidRPr="00CD4F23">
          <w:rPr>
            <w:rStyle w:val="Hyperlink"/>
            <w:sz w:val="18"/>
            <w:szCs w:val="18"/>
          </w:rPr>
          <w:t>http://www.allergen.org/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97E1" w14:textId="5D98E37D" w:rsidR="00030D50" w:rsidRDefault="00030D5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0515A6"/>
    <w:multiLevelType w:val="hybridMultilevel"/>
    <w:tmpl w:val="806A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043480"/>
    <w:multiLevelType w:val="hybridMultilevel"/>
    <w:tmpl w:val="A2C4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F7304CD"/>
    <w:multiLevelType w:val="hybridMultilevel"/>
    <w:tmpl w:val="D5386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7C661CAB"/>
    <w:multiLevelType w:val="hybridMultilevel"/>
    <w:tmpl w:val="A0A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7C"/>
    <w:rsid w:val="00001CF2"/>
    <w:rsid w:val="0000247B"/>
    <w:rsid w:val="00003651"/>
    <w:rsid w:val="00003A8E"/>
    <w:rsid w:val="00004136"/>
    <w:rsid w:val="0000469B"/>
    <w:rsid w:val="000179D5"/>
    <w:rsid w:val="000258CD"/>
    <w:rsid w:val="000278C2"/>
    <w:rsid w:val="00030D50"/>
    <w:rsid w:val="00031EE4"/>
    <w:rsid w:val="00032EB0"/>
    <w:rsid w:val="0003391B"/>
    <w:rsid w:val="0003559D"/>
    <w:rsid w:val="00035FF3"/>
    <w:rsid w:val="00040B8D"/>
    <w:rsid w:val="00042EFA"/>
    <w:rsid w:val="00051021"/>
    <w:rsid w:val="00051ED9"/>
    <w:rsid w:val="00057181"/>
    <w:rsid w:val="0006473A"/>
    <w:rsid w:val="00064B2D"/>
    <w:rsid w:val="00065F1F"/>
    <w:rsid w:val="00073A98"/>
    <w:rsid w:val="000750F9"/>
    <w:rsid w:val="00076D33"/>
    <w:rsid w:val="00080821"/>
    <w:rsid w:val="00092CDA"/>
    <w:rsid w:val="0009433E"/>
    <w:rsid w:val="00094503"/>
    <w:rsid w:val="000959A1"/>
    <w:rsid w:val="000A27E9"/>
    <w:rsid w:val="000A3624"/>
    <w:rsid w:val="000A3D8B"/>
    <w:rsid w:val="000A4B27"/>
    <w:rsid w:val="000A5DF8"/>
    <w:rsid w:val="000B11DB"/>
    <w:rsid w:val="000B6AF2"/>
    <w:rsid w:val="000C669D"/>
    <w:rsid w:val="000D6FD4"/>
    <w:rsid w:val="000E0AE4"/>
    <w:rsid w:val="000E3DBC"/>
    <w:rsid w:val="00113CE3"/>
    <w:rsid w:val="0011723D"/>
    <w:rsid w:val="00117522"/>
    <w:rsid w:val="00123C9B"/>
    <w:rsid w:val="00125986"/>
    <w:rsid w:val="00125EB8"/>
    <w:rsid w:val="00130162"/>
    <w:rsid w:val="0013174A"/>
    <w:rsid w:val="00146D17"/>
    <w:rsid w:val="00146D91"/>
    <w:rsid w:val="001528D7"/>
    <w:rsid w:val="001542D8"/>
    <w:rsid w:val="001544B6"/>
    <w:rsid w:val="00157D17"/>
    <w:rsid w:val="00160E7E"/>
    <w:rsid w:val="00161257"/>
    <w:rsid w:val="00180C41"/>
    <w:rsid w:val="00182C4C"/>
    <w:rsid w:val="00197646"/>
    <w:rsid w:val="00197D8D"/>
    <w:rsid w:val="001A1A75"/>
    <w:rsid w:val="001A7E9A"/>
    <w:rsid w:val="001C00CB"/>
    <w:rsid w:val="001C27A3"/>
    <w:rsid w:val="001C458E"/>
    <w:rsid w:val="001C4DBF"/>
    <w:rsid w:val="001C5295"/>
    <w:rsid w:val="001D62DB"/>
    <w:rsid w:val="001E09FA"/>
    <w:rsid w:val="001E2C7C"/>
    <w:rsid w:val="001F02CF"/>
    <w:rsid w:val="00203540"/>
    <w:rsid w:val="00204159"/>
    <w:rsid w:val="002047F0"/>
    <w:rsid w:val="00213F33"/>
    <w:rsid w:val="0021612B"/>
    <w:rsid w:val="0022083A"/>
    <w:rsid w:val="00221D07"/>
    <w:rsid w:val="00225159"/>
    <w:rsid w:val="0022558C"/>
    <w:rsid w:val="00227E4A"/>
    <w:rsid w:val="00230FD7"/>
    <w:rsid w:val="00233C3D"/>
    <w:rsid w:val="0024582E"/>
    <w:rsid w:val="00245C56"/>
    <w:rsid w:val="00245E52"/>
    <w:rsid w:val="0025103F"/>
    <w:rsid w:val="00251ADB"/>
    <w:rsid w:val="00253EC1"/>
    <w:rsid w:val="002547EF"/>
    <w:rsid w:val="00256D65"/>
    <w:rsid w:val="002638FC"/>
    <w:rsid w:val="00267F59"/>
    <w:rsid w:val="00271F00"/>
    <w:rsid w:val="002734D8"/>
    <w:rsid w:val="00273A80"/>
    <w:rsid w:val="00277A30"/>
    <w:rsid w:val="002903D9"/>
    <w:rsid w:val="00290FEC"/>
    <w:rsid w:val="0029204E"/>
    <w:rsid w:val="00292946"/>
    <w:rsid w:val="002944BD"/>
    <w:rsid w:val="0029631C"/>
    <w:rsid w:val="002A0194"/>
    <w:rsid w:val="002A3314"/>
    <w:rsid w:val="002A4F58"/>
    <w:rsid w:val="002A5F8B"/>
    <w:rsid w:val="002A6F12"/>
    <w:rsid w:val="002A7F6C"/>
    <w:rsid w:val="002C11DD"/>
    <w:rsid w:val="002C1509"/>
    <w:rsid w:val="002C1909"/>
    <w:rsid w:val="002C3598"/>
    <w:rsid w:val="002D6809"/>
    <w:rsid w:val="002E621B"/>
    <w:rsid w:val="002E756A"/>
    <w:rsid w:val="002F1384"/>
    <w:rsid w:val="002F24CB"/>
    <w:rsid w:val="002F3BA8"/>
    <w:rsid w:val="002F58CF"/>
    <w:rsid w:val="002F6488"/>
    <w:rsid w:val="002F6E10"/>
    <w:rsid w:val="00304368"/>
    <w:rsid w:val="00312B34"/>
    <w:rsid w:val="003161F4"/>
    <w:rsid w:val="003166F9"/>
    <w:rsid w:val="00317B06"/>
    <w:rsid w:val="00320839"/>
    <w:rsid w:val="003213F9"/>
    <w:rsid w:val="00323C52"/>
    <w:rsid w:val="00323DBF"/>
    <w:rsid w:val="00324BB2"/>
    <w:rsid w:val="003250FB"/>
    <w:rsid w:val="00326D85"/>
    <w:rsid w:val="003309A8"/>
    <w:rsid w:val="003325F6"/>
    <w:rsid w:val="00332B12"/>
    <w:rsid w:val="003375D8"/>
    <w:rsid w:val="0034269F"/>
    <w:rsid w:val="00342B06"/>
    <w:rsid w:val="003505CC"/>
    <w:rsid w:val="00351B07"/>
    <w:rsid w:val="00352CF2"/>
    <w:rsid w:val="003537EE"/>
    <w:rsid w:val="00356FC2"/>
    <w:rsid w:val="00364841"/>
    <w:rsid w:val="00371B29"/>
    <w:rsid w:val="0037656B"/>
    <w:rsid w:val="00380A0B"/>
    <w:rsid w:val="00381838"/>
    <w:rsid w:val="0038188E"/>
    <w:rsid w:val="003821F5"/>
    <w:rsid w:val="00391769"/>
    <w:rsid w:val="00391B85"/>
    <w:rsid w:val="003953E1"/>
    <w:rsid w:val="003956B3"/>
    <w:rsid w:val="003976C9"/>
    <w:rsid w:val="003A1F55"/>
    <w:rsid w:val="003A4313"/>
    <w:rsid w:val="003A4323"/>
    <w:rsid w:val="003A4E84"/>
    <w:rsid w:val="003A4EF2"/>
    <w:rsid w:val="003A68BE"/>
    <w:rsid w:val="003B1805"/>
    <w:rsid w:val="003B2C28"/>
    <w:rsid w:val="003B3C9D"/>
    <w:rsid w:val="003B78E0"/>
    <w:rsid w:val="003C4969"/>
    <w:rsid w:val="003D2E0B"/>
    <w:rsid w:val="003D570A"/>
    <w:rsid w:val="003D66C6"/>
    <w:rsid w:val="003E41D5"/>
    <w:rsid w:val="003E46BA"/>
    <w:rsid w:val="003E7D22"/>
    <w:rsid w:val="003F49A9"/>
    <w:rsid w:val="003F74C1"/>
    <w:rsid w:val="00402260"/>
    <w:rsid w:val="00405B1A"/>
    <w:rsid w:val="00410C76"/>
    <w:rsid w:val="00411907"/>
    <w:rsid w:val="00413CA8"/>
    <w:rsid w:val="00417366"/>
    <w:rsid w:val="00417EE3"/>
    <w:rsid w:val="00417FB6"/>
    <w:rsid w:val="004207EB"/>
    <w:rsid w:val="00424626"/>
    <w:rsid w:val="00426D2B"/>
    <w:rsid w:val="0043388C"/>
    <w:rsid w:val="00437276"/>
    <w:rsid w:val="00437615"/>
    <w:rsid w:val="00443E84"/>
    <w:rsid w:val="00454333"/>
    <w:rsid w:val="00454ECE"/>
    <w:rsid w:val="00455D07"/>
    <w:rsid w:val="00456B54"/>
    <w:rsid w:val="00460C41"/>
    <w:rsid w:val="00464643"/>
    <w:rsid w:val="00465496"/>
    <w:rsid w:val="00477F42"/>
    <w:rsid w:val="004833B2"/>
    <w:rsid w:val="00486793"/>
    <w:rsid w:val="00492D64"/>
    <w:rsid w:val="00494076"/>
    <w:rsid w:val="004A0CF2"/>
    <w:rsid w:val="004A2037"/>
    <w:rsid w:val="004A3B46"/>
    <w:rsid w:val="004A4011"/>
    <w:rsid w:val="004A65B5"/>
    <w:rsid w:val="004A7DFB"/>
    <w:rsid w:val="004B2A40"/>
    <w:rsid w:val="004B3B9C"/>
    <w:rsid w:val="004B59BE"/>
    <w:rsid w:val="004C0B8D"/>
    <w:rsid w:val="004C2CE7"/>
    <w:rsid w:val="004D678C"/>
    <w:rsid w:val="004E3AF9"/>
    <w:rsid w:val="004F4B9B"/>
    <w:rsid w:val="004F4F98"/>
    <w:rsid w:val="004F560A"/>
    <w:rsid w:val="004F69F6"/>
    <w:rsid w:val="004F79AC"/>
    <w:rsid w:val="005017CF"/>
    <w:rsid w:val="005025E4"/>
    <w:rsid w:val="00503E80"/>
    <w:rsid w:val="00506A0E"/>
    <w:rsid w:val="0051363E"/>
    <w:rsid w:val="005153C2"/>
    <w:rsid w:val="005207D8"/>
    <w:rsid w:val="00520BAE"/>
    <w:rsid w:val="005231D5"/>
    <w:rsid w:val="00523A10"/>
    <w:rsid w:val="00525353"/>
    <w:rsid w:val="0053464E"/>
    <w:rsid w:val="0054272D"/>
    <w:rsid w:val="0055505B"/>
    <w:rsid w:val="00560323"/>
    <w:rsid w:val="00562917"/>
    <w:rsid w:val="0056366C"/>
    <w:rsid w:val="0056543E"/>
    <w:rsid w:val="00571C03"/>
    <w:rsid w:val="005756A5"/>
    <w:rsid w:val="0057615C"/>
    <w:rsid w:val="00586228"/>
    <w:rsid w:val="005862F9"/>
    <w:rsid w:val="00586E64"/>
    <w:rsid w:val="00594A81"/>
    <w:rsid w:val="005A1D97"/>
    <w:rsid w:val="005A3C3D"/>
    <w:rsid w:val="005A5843"/>
    <w:rsid w:val="005A58F3"/>
    <w:rsid w:val="005B45C8"/>
    <w:rsid w:val="005B6122"/>
    <w:rsid w:val="005B6AF4"/>
    <w:rsid w:val="005B7A73"/>
    <w:rsid w:val="005C04CB"/>
    <w:rsid w:val="005C079E"/>
    <w:rsid w:val="005C2EF1"/>
    <w:rsid w:val="005D10D8"/>
    <w:rsid w:val="005D16AD"/>
    <w:rsid w:val="005D72E1"/>
    <w:rsid w:val="005E0671"/>
    <w:rsid w:val="005E5B7F"/>
    <w:rsid w:val="005E6E16"/>
    <w:rsid w:val="005F400E"/>
    <w:rsid w:val="005F4318"/>
    <w:rsid w:val="005F7342"/>
    <w:rsid w:val="00600219"/>
    <w:rsid w:val="00601E58"/>
    <w:rsid w:val="00603A08"/>
    <w:rsid w:val="00604855"/>
    <w:rsid w:val="0060617A"/>
    <w:rsid w:val="00610A3C"/>
    <w:rsid w:val="00621AD2"/>
    <w:rsid w:val="00622D6D"/>
    <w:rsid w:val="00626316"/>
    <w:rsid w:val="00626924"/>
    <w:rsid w:val="00627F48"/>
    <w:rsid w:val="00630C23"/>
    <w:rsid w:val="0063405D"/>
    <w:rsid w:val="00645842"/>
    <w:rsid w:val="006460AB"/>
    <w:rsid w:val="006519BE"/>
    <w:rsid w:val="00663FCF"/>
    <w:rsid w:val="006646BC"/>
    <w:rsid w:val="006652A2"/>
    <w:rsid w:val="006735C6"/>
    <w:rsid w:val="006803D3"/>
    <w:rsid w:val="0068106D"/>
    <w:rsid w:val="006836D7"/>
    <w:rsid w:val="00690206"/>
    <w:rsid w:val="00690DD4"/>
    <w:rsid w:val="006937FF"/>
    <w:rsid w:val="006A48A7"/>
    <w:rsid w:val="006A6127"/>
    <w:rsid w:val="006B1FCF"/>
    <w:rsid w:val="006B41A6"/>
    <w:rsid w:val="006B4BA1"/>
    <w:rsid w:val="006B5EBE"/>
    <w:rsid w:val="006C5627"/>
    <w:rsid w:val="006C5CF5"/>
    <w:rsid w:val="006E4B5D"/>
    <w:rsid w:val="006F4A82"/>
    <w:rsid w:val="006F606D"/>
    <w:rsid w:val="0070373B"/>
    <w:rsid w:val="00704EA1"/>
    <w:rsid w:val="00711FDE"/>
    <w:rsid w:val="00721B08"/>
    <w:rsid w:val="00724FA4"/>
    <w:rsid w:val="00725B3F"/>
    <w:rsid w:val="00727B8D"/>
    <w:rsid w:val="00730800"/>
    <w:rsid w:val="0073369F"/>
    <w:rsid w:val="00736A74"/>
    <w:rsid w:val="00736AD5"/>
    <w:rsid w:val="00736E6B"/>
    <w:rsid w:val="00742170"/>
    <w:rsid w:val="007442C6"/>
    <w:rsid w:val="00754DED"/>
    <w:rsid w:val="007602AA"/>
    <w:rsid w:val="007613B1"/>
    <w:rsid w:val="00761B51"/>
    <w:rsid w:val="007642E8"/>
    <w:rsid w:val="007652EF"/>
    <w:rsid w:val="00770FE8"/>
    <w:rsid w:val="00771629"/>
    <w:rsid w:val="00772BDC"/>
    <w:rsid w:val="007755D5"/>
    <w:rsid w:val="0077690A"/>
    <w:rsid w:val="0077708F"/>
    <w:rsid w:val="00780792"/>
    <w:rsid w:val="00781240"/>
    <w:rsid w:val="00796562"/>
    <w:rsid w:val="007A25D9"/>
    <w:rsid w:val="007A40F9"/>
    <w:rsid w:val="007A44B4"/>
    <w:rsid w:val="007A57E8"/>
    <w:rsid w:val="007A7D3D"/>
    <w:rsid w:val="007B225D"/>
    <w:rsid w:val="007B7FD0"/>
    <w:rsid w:val="007C174F"/>
    <w:rsid w:val="007C1C64"/>
    <w:rsid w:val="007C7473"/>
    <w:rsid w:val="007D03EA"/>
    <w:rsid w:val="007D1AAF"/>
    <w:rsid w:val="007D5CA7"/>
    <w:rsid w:val="007D739C"/>
    <w:rsid w:val="007E2418"/>
    <w:rsid w:val="007E48BC"/>
    <w:rsid w:val="007E497C"/>
    <w:rsid w:val="007E4A7A"/>
    <w:rsid w:val="007E79F7"/>
    <w:rsid w:val="007F0605"/>
    <w:rsid w:val="007F09BE"/>
    <w:rsid w:val="007F143F"/>
    <w:rsid w:val="007F33B9"/>
    <w:rsid w:val="007F3630"/>
    <w:rsid w:val="007F581F"/>
    <w:rsid w:val="007F6D3C"/>
    <w:rsid w:val="00807559"/>
    <w:rsid w:val="00815029"/>
    <w:rsid w:val="0082133F"/>
    <w:rsid w:val="00826A24"/>
    <w:rsid w:val="00830683"/>
    <w:rsid w:val="00835977"/>
    <w:rsid w:val="008439FA"/>
    <w:rsid w:val="008450BC"/>
    <w:rsid w:val="00845AA0"/>
    <w:rsid w:val="00845D21"/>
    <w:rsid w:val="00846453"/>
    <w:rsid w:val="0085334B"/>
    <w:rsid w:val="00870214"/>
    <w:rsid w:val="00874381"/>
    <w:rsid w:val="00885C51"/>
    <w:rsid w:val="00885EB0"/>
    <w:rsid w:val="008864D6"/>
    <w:rsid w:val="00887E21"/>
    <w:rsid w:val="00891F4B"/>
    <w:rsid w:val="0089264A"/>
    <w:rsid w:val="00896B85"/>
    <w:rsid w:val="008A22BE"/>
    <w:rsid w:val="008A6B76"/>
    <w:rsid w:val="008A7EE8"/>
    <w:rsid w:val="008B1194"/>
    <w:rsid w:val="008B4386"/>
    <w:rsid w:val="008C1B36"/>
    <w:rsid w:val="008C6432"/>
    <w:rsid w:val="008D06C6"/>
    <w:rsid w:val="008D3BA0"/>
    <w:rsid w:val="008D7805"/>
    <w:rsid w:val="008E6250"/>
    <w:rsid w:val="008E708C"/>
    <w:rsid w:val="008E7C68"/>
    <w:rsid w:val="008F0AEB"/>
    <w:rsid w:val="008F28BD"/>
    <w:rsid w:val="008F525C"/>
    <w:rsid w:val="00901F69"/>
    <w:rsid w:val="00902AF6"/>
    <w:rsid w:val="00920249"/>
    <w:rsid w:val="00924C80"/>
    <w:rsid w:val="009261DD"/>
    <w:rsid w:val="00926EA2"/>
    <w:rsid w:val="00932188"/>
    <w:rsid w:val="00932F14"/>
    <w:rsid w:val="0093388E"/>
    <w:rsid w:val="009362D5"/>
    <w:rsid w:val="0094247F"/>
    <w:rsid w:val="00942D60"/>
    <w:rsid w:val="009437BD"/>
    <w:rsid w:val="009505EF"/>
    <w:rsid w:val="009531EA"/>
    <w:rsid w:val="00955F13"/>
    <w:rsid w:val="00962A73"/>
    <w:rsid w:val="00963238"/>
    <w:rsid w:val="0096481B"/>
    <w:rsid w:val="0096523B"/>
    <w:rsid w:val="00965BDA"/>
    <w:rsid w:val="00966EE3"/>
    <w:rsid w:val="00972A8A"/>
    <w:rsid w:val="00972D06"/>
    <w:rsid w:val="00975335"/>
    <w:rsid w:val="009837E4"/>
    <w:rsid w:val="00984823"/>
    <w:rsid w:val="0098490F"/>
    <w:rsid w:val="009849E0"/>
    <w:rsid w:val="00992118"/>
    <w:rsid w:val="00993354"/>
    <w:rsid w:val="009A06DE"/>
    <w:rsid w:val="009A184C"/>
    <w:rsid w:val="009A2997"/>
    <w:rsid w:val="009A391C"/>
    <w:rsid w:val="009A50F2"/>
    <w:rsid w:val="009B3AA7"/>
    <w:rsid w:val="009B76B3"/>
    <w:rsid w:val="009C419D"/>
    <w:rsid w:val="009D0C96"/>
    <w:rsid w:val="009D6636"/>
    <w:rsid w:val="009E074B"/>
    <w:rsid w:val="009E0A61"/>
    <w:rsid w:val="009E3010"/>
    <w:rsid w:val="009F007E"/>
    <w:rsid w:val="009F3307"/>
    <w:rsid w:val="009F64B2"/>
    <w:rsid w:val="009F7065"/>
    <w:rsid w:val="00A0081C"/>
    <w:rsid w:val="00A05726"/>
    <w:rsid w:val="00A316B0"/>
    <w:rsid w:val="00A33BA2"/>
    <w:rsid w:val="00A4175D"/>
    <w:rsid w:val="00A43BD5"/>
    <w:rsid w:val="00A56AB5"/>
    <w:rsid w:val="00A56DC7"/>
    <w:rsid w:val="00A653D8"/>
    <w:rsid w:val="00A74FD1"/>
    <w:rsid w:val="00A751E1"/>
    <w:rsid w:val="00A769AB"/>
    <w:rsid w:val="00A77BFA"/>
    <w:rsid w:val="00A84A58"/>
    <w:rsid w:val="00A87D2C"/>
    <w:rsid w:val="00A9308F"/>
    <w:rsid w:val="00AA3F25"/>
    <w:rsid w:val="00AB05C6"/>
    <w:rsid w:val="00AB57B6"/>
    <w:rsid w:val="00AC2AF4"/>
    <w:rsid w:val="00AC2D20"/>
    <w:rsid w:val="00AD55F0"/>
    <w:rsid w:val="00AE0A16"/>
    <w:rsid w:val="00AF06FC"/>
    <w:rsid w:val="00AF3391"/>
    <w:rsid w:val="00AF387F"/>
    <w:rsid w:val="00AF5E85"/>
    <w:rsid w:val="00AF6310"/>
    <w:rsid w:val="00AF6A56"/>
    <w:rsid w:val="00B00E7F"/>
    <w:rsid w:val="00B055B3"/>
    <w:rsid w:val="00B101D6"/>
    <w:rsid w:val="00B1040C"/>
    <w:rsid w:val="00B12F1E"/>
    <w:rsid w:val="00B173DA"/>
    <w:rsid w:val="00B21DCC"/>
    <w:rsid w:val="00B25B82"/>
    <w:rsid w:val="00B25F37"/>
    <w:rsid w:val="00B34049"/>
    <w:rsid w:val="00B37BF0"/>
    <w:rsid w:val="00B42378"/>
    <w:rsid w:val="00B44422"/>
    <w:rsid w:val="00B46EA0"/>
    <w:rsid w:val="00B54359"/>
    <w:rsid w:val="00B61B9E"/>
    <w:rsid w:val="00B64E2A"/>
    <w:rsid w:val="00B656B8"/>
    <w:rsid w:val="00B701C8"/>
    <w:rsid w:val="00B70704"/>
    <w:rsid w:val="00B731D3"/>
    <w:rsid w:val="00B74AA4"/>
    <w:rsid w:val="00B839A3"/>
    <w:rsid w:val="00B902BD"/>
    <w:rsid w:val="00B90D25"/>
    <w:rsid w:val="00B922BB"/>
    <w:rsid w:val="00B951F8"/>
    <w:rsid w:val="00BA16A6"/>
    <w:rsid w:val="00BA24E2"/>
    <w:rsid w:val="00BA441B"/>
    <w:rsid w:val="00BB2030"/>
    <w:rsid w:val="00BD2A39"/>
    <w:rsid w:val="00BD2E80"/>
    <w:rsid w:val="00BD5CD9"/>
    <w:rsid w:val="00BE11B8"/>
    <w:rsid w:val="00BF2F12"/>
    <w:rsid w:val="00BF7FF0"/>
    <w:rsid w:val="00C057F4"/>
    <w:rsid w:val="00C12502"/>
    <w:rsid w:val="00C14577"/>
    <w:rsid w:val="00C14EEA"/>
    <w:rsid w:val="00C16DB8"/>
    <w:rsid w:val="00C247BE"/>
    <w:rsid w:val="00C31F2C"/>
    <w:rsid w:val="00C33BF7"/>
    <w:rsid w:val="00C35678"/>
    <w:rsid w:val="00C36578"/>
    <w:rsid w:val="00C377A8"/>
    <w:rsid w:val="00C40AA5"/>
    <w:rsid w:val="00C40E46"/>
    <w:rsid w:val="00C427E3"/>
    <w:rsid w:val="00C457F6"/>
    <w:rsid w:val="00C46F70"/>
    <w:rsid w:val="00C476D0"/>
    <w:rsid w:val="00C52F87"/>
    <w:rsid w:val="00C54992"/>
    <w:rsid w:val="00C57A86"/>
    <w:rsid w:val="00C61AC1"/>
    <w:rsid w:val="00C633BD"/>
    <w:rsid w:val="00C7366F"/>
    <w:rsid w:val="00C82FB8"/>
    <w:rsid w:val="00C836E3"/>
    <w:rsid w:val="00C86577"/>
    <w:rsid w:val="00C92E07"/>
    <w:rsid w:val="00C93FB4"/>
    <w:rsid w:val="00C94C71"/>
    <w:rsid w:val="00C96868"/>
    <w:rsid w:val="00CA0416"/>
    <w:rsid w:val="00CA39BB"/>
    <w:rsid w:val="00CA3A30"/>
    <w:rsid w:val="00CA641D"/>
    <w:rsid w:val="00CB2DB5"/>
    <w:rsid w:val="00CB60BE"/>
    <w:rsid w:val="00CB6844"/>
    <w:rsid w:val="00CB7E06"/>
    <w:rsid w:val="00CC3912"/>
    <w:rsid w:val="00CC40E1"/>
    <w:rsid w:val="00CC560B"/>
    <w:rsid w:val="00CC75E2"/>
    <w:rsid w:val="00CD4083"/>
    <w:rsid w:val="00CD429F"/>
    <w:rsid w:val="00CD46EB"/>
    <w:rsid w:val="00CD4F23"/>
    <w:rsid w:val="00CD6900"/>
    <w:rsid w:val="00CD7EBF"/>
    <w:rsid w:val="00CF03D6"/>
    <w:rsid w:val="00CF2113"/>
    <w:rsid w:val="00CF274A"/>
    <w:rsid w:val="00D00FB7"/>
    <w:rsid w:val="00D056F1"/>
    <w:rsid w:val="00D11171"/>
    <w:rsid w:val="00D1220F"/>
    <w:rsid w:val="00D16FB3"/>
    <w:rsid w:val="00D20FC4"/>
    <w:rsid w:val="00D22F3C"/>
    <w:rsid w:val="00D23DB6"/>
    <w:rsid w:val="00D2681F"/>
    <w:rsid w:val="00D2736B"/>
    <w:rsid w:val="00D30168"/>
    <w:rsid w:val="00D351E0"/>
    <w:rsid w:val="00D36876"/>
    <w:rsid w:val="00D377DD"/>
    <w:rsid w:val="00D42BD9"/>
    <w:rsid w:val="00D43FE6"/>
    <w:rsid w:val="00D47A56"/>
    <w:rsid w:val="00D51A95"/>
    <w:rsid w:val="00D526A7"/>
    <w:rsid w:val="00D60568"/>
    <w:rsid w:val="00D60C30"/>
    <w:rsid w:val="00D70C7A"/>
    <w:rsid w:val="00D728C5"/>
    <w:rsid w:val="00D81D38"/>
    <w:rsid w:val="00D90D08"/>
    <w:rsid w:val="00D94B29"/>
    <w:rsid w:val="00D9620E"/>
    <w:rsid w:val="00DA10A8"/>
    <w:rsid w:val="00DA3B85"/>
    <w:rsid w:val="00DA6BB4"/>
    <w:rsid w:val="00DA6CF3"/>
    <w:rsid w:val="00DA7942"/>
    <w:rsid w:val="00DB1B25"/>
    <w:rsid w:val="00DB1E08"/>
    <w:rsid w:val="00DB2973"/>
    <w:rsid w:val="00DB5A42"/>
    <w:rsid w:val="00DC1B56"/>
    <w:rsid w:val="00DC2129"/>
    <w:rsid w:val="00DC4471"/>
    <w:rsid w:val="00DC6570"/>
    <w:rsid w:val="00DC7DAF"/>
    <w:rsid w:val="00DD3C5E"/>
    <w:rsid w:val="00DD79D8"/>
    <w:rsid w:val="00DE0A3F"/>
    <w:rsid w:val="00DE0C1F"/>
    <w:rsid w:val="00DE0DAA"/>
    <w:rsid w:val="00DF13FC"/>
    <w:rsid w:val="00DF25C3"/>
    <w:rsid w:val="00DF2765"/>
    <w:rsid w:val="00DF54B1"/>
    <w:rsid w:val="00DF779D"/>
    <w:rsid w:val="00E04062"/>
    <w:rsid w:val="00E063C6"/>
    <w:rsid w:val="00E066BA"/>
    <w:rsid w:val="00E2003B"/>
    <w:rsid w:val="00E203C2"/>
    <w:rsid w:val="00E20D79"/>
    <w:rsid w:val="00E21EB6"/>
    <w:rsid w:val="00E22364"/>
    <w:rsid w:val="00E256A6"/>
    <w:rsid w:val="00E279D8"/>
    <w:rsid w:val="00E30AD3"/>
    <w:rsid w:val="00E319B1"/>
    <w:rsid w:val="00E336B9"/>
    <w:rsid w:val="00E36BCA"/>
    <w:rsid w:val="00E41F01"/>
    <w:rsid w:val="00E44E0D"/>
    <w:rsid w:val="00E5492F"/>
    <w:rsid w:val="00E555F2"/>
    <w:rsid w:val="00E62DEF"/>
    <w:rsid w:val="00E6677E"/>
    <w:rsid w:val="00E70A86"/>
    <w:rsid w:val="00E777EC"/>
    <w:rsid w:val="00E80860"/>
    <w:rsid w:val="00E80FCD"/>
    <w:rsid w:val="00E87161"/>
    <w:rsid w:val="00E911A8"/>
    <w:rsid w:val="00E9177B"/>
    <w:rsid w:val="00E96EAD"/>
    <w:rsid w:val="00EA7F2F"/>
    <w:rsid w:val="00EB68F8"/>
    <w:rsid w:val="00EB6901"/>
    <w:rsid w:val="00EC00DE"/>
    <w:rsid w:val="00EC30E1"/>
    <w:rsid w:val="00EC477A"/>
    <w:rsid w:val="00ED172A"/>
    <w:rsid w:val="00ED43F6"/>
    <w:rsid w:val="00ED4A12"/>
    <w:rsid w:val="00EF4B22"/>
    <w:rsid w:val="00F01415"/>
    <w:rsid w:val="00F05CAE"/>
    <w:rsid w:val="00F11F6C"/>
    <w:rsid w:val="00F14BEC"/>
    <w:rsid w:val="00F152F5"/>
    <w:rsid w:val="00F225C5"/>
    <w:rsid w:val="00F2587A"/>
    <w:rsid w:val="00F25DC3"/>
    <w:rsid w:val="00F3715D"/>
    <w:rsid w:val="00F4115D"/>
    <w:rsid w:val="00F420C8"/>
    <w:rsid w:val="00F42A4C"/>
    <w:rsid w:val="00F43EB2"/>
    <w:rsid w:val="00F53124"/>
    <w:rsid w:val="00F604DE"/>
    <w:rsid w:val="00F62783"/>
    <w:rsid w:val="00F64795"/>
    <w:rsid w:val="00F667EB"/>
    <w:rsid w:val="00F675FA"/>
    <w:rsid w:val="00F80740"/>
    <w:rsid w:val="00F8126A"/>
    <w:rsid w:val="00F8790E"/>
    <w:rsid w:val="00FA01B2"/>
    <w:rsid w:val="00FA12BB"/>
    <w:rsid w:val="00FB1BB5"/>
    <w:rsid w:val="00FB605B"/>
    <w:rsid w:val="00FB7512"/>
    <w:rsid w:val="00FC5808"/>
    <w:rsid w:val="00FD45CF"/>
    <w:rsid w:val="00FD7547"/>
    <w:rsid w:val="00FE441F"/>
    <w:rsid w:val="00FF02E3"/>
    <w:rsid w:val="00FF4097"/>
    <w:rsid w:val="00FF5F5C"/>
    <w:rsid w:val="00FF63C4"/>
    <w:rsid w:val="00FF6551"/>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C9C05EE"/>
  <w15:docId w15:val="{26171909-5E80-4C07-B98E-AAA4B17C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477F42"/>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477F42"/>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CB6844"/>
    <w:pPr>
      <w:widowControl/>
      <w:ind w:left="720"/>
      <w:contextualSpacing/>
    </w:pPr>
    <w:rPr>
      <w:rFonts w:eastAsiaTheme="minorHAnsi" w:cstheme="minorBidi"/>
      <w:szCs w:val="22"/>
      <w:lang w:bidi="ar-SA"/>
    </w:rPr>
  </w:style>
  <w:style w:type="character" w:customStyle="1" w:styleId="FootnoteTextChar">
    <w:name w:val="Footnote Text Char"/>
    <w:aliases w:val="Footnotes Text Char,FSFootnotes Text Char,FSFootnote Text Char"/>
    <w:basedOn w:val="DefaultParagraphFont"/>
    <w:link w:val="FootnoteText"/>
    <w:rsid w:val="00CB6844"/>
    <w:rPr>
      <w:rFonts w:ascii="Arial" w:hAnsi="Arial"/>
      <w:lang w:eastAsia="en-US" w:bidi="en-US"/>
    </w:rPr>
  </w:style>
  <w:style w:type="paragraph" w:customStyle="1" w:styleId="FSTableFigureHeading">
    <w:name w:val="FSTable/Figure Heading"/>
    <w:basedOn w:val="Normal"/>
    <w:uiPriority w:val="7"/>
    <w:qFormat/>
    <w:locked/>
    <w:rsid w:val="00CB6844"/>
    <w:pPr>
      <w:widowControl/>
      <w:spacing w:before="120" w:after="120"/>
      <w:ind w:left="1134" w:hanging="1134"/>
    </w:pPr>
    <w:rPr>
      <w:rFonts w:eastAsiaTheme="minorHAnsi" w:cs="Arial"/>
      <w:b/>
      <w:i/>
      <w:color w:val="2E3037"/>
      <w:szCs w:val="22"/>
      <w:lang w:val="en-AU" w:bidi="ar-SA"/>
    </w:rPr>
  </w:style>
  <w:style w:type="table" w:styleId="TableClassic4">
    <w:name w:val="Table Classic 4"/>
    <w:basedOn w:val="TableNormal"/>
    <w:rsid w:val="00CB6844"/>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unhideWhenUsed/>
    <w:rsid w:val="000179D5"/>
    <w:rPr>
      <w:b/>
      <w:bCs/>
    </w:rPr>
  </w:style>
  <w:style w:type="character" w:customStyle="1" w:styleId="CommentSubjectChar">
    <w:name w:val="Comment Subject Char"/>
    <w:basedOn w:val="CommentTextChar"/>
    <w:link w:val="CommentSubject"/>
    <w:semiHidden/>
    <w:rsid w:val="000179D5"/>
    <w:rPr>
      <w:rFonts w:ascii="Arial" w:hAnsi="Arial"/>
      <w:b/>
      <w:bCs/>
      <w:lang w:eastAsia="en-US" w:bidi="en-US"/>
    </w:rPr>
  </w:style>
  <w:style w:type="paragraph" w:styleId="NormalWeb">
    <w:name w:val="Normal (Web)"/>
    <w:basedOn w:val="Normal"/>
    <w:uiPriority w:val="99"/>
    <w:semiHidden/>
    <w:unhideWhenUsed/>
    <w:rsid w:val="00E36BCA"/>
    <w:pPr>
      <w:widowControl/>
      <w:spacing w:before="100" w:beforeAutospacing="1" w:after="100" w:afterAutospacing="1"/>
    </w:pPr>
    <w:rPr>
      <w:rFonts w:ascii="Times New Roman" w:eastAsiaTheme="minorHAnsi"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90795714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hyperlink" Target="http://www.hpppi.iicb.res.in/bto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iubmb.qmul.ac.uk/enzyme/EC3/2/1/133.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last.ncbi.nlm.nih.gov/Blast.cg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www.allergenonline.org/" TargetMode="External"/><Relationship Id="rId10" Type="http://schemas.openxmlformats.org/officeDocument/2006/relationships/settings" Target="settings.xml"/><Relationship Id="rId19" Type="http://schemas.openxmlformats.org/officeDocument/2006/relationships/hyperlink" Target="https://www.brenda-enzymes.org/enzyme.php?ecno=3.2.1.133"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unipro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www.hpppi.iicb.res.in/btox/" TargetMode="External"/><Relationship Id="rId1" Type="http://schemas.openxmlformats.org/officeDocument/2006/relationships/hyperlink" Target="https://www.foodstandards.gov.au/code/applications/Pages/A1210.aspx" TargetMode="External"/><Relationship Id="rId5" Type="http://schemas.openxmlformats.org/officeDocument/2006/relationships/hyperlink" Target="http://www.allergen.org/" TargetMode="External"/><Relationship Id="rId4" Type="http://schemas.openxmlformats.org/officeDocument/2006/relationships/hyperlink" Target="http://www.allergenonl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87C3-19D5-4223-8E29-AC7FE32F00AD}"/>
</file>

<file path=customXml/itemProps2.xml><?xml version="1.0" encoding="utf-8"?>
<ds:datastoreItem xmlns:ds="http://schemas.openxmlformats.org/officeDocument/2006/customXml" ds:itemID="{AAE40BD1-6454-49D0-91A5-4310C49648B6}"/>
</file>

<file path=customXml/itemProps3.xml><?xml version="1.0" encoding="utf-8"?>
<ds:datastoreItem xmlns:ds="http://schemas.openxmlformats.org/officeDocument/2006/customXml" ds:itemID="{BE707261-9396-41C4-82BC-C0BE8A84CB62}"/>
</file>

<file path=customXml/itemProps4.xml><?xml version="1.0" encoding="utf-8"?>
<ds:datastoreItem xmlns:ds="http://schemas.openxmlformats.org/officeDocument/2006/customXml" ds:itemID="{C5F587C3-19D5-4223-8E29-AC7FE32F00AD}">
  <ds:schemaRefs>
    <ds:schemaRef ds:uri="http://schemas.microsoft.com/sharepoint/v3/contenttype/forms"/>
  </ds:schemaRefs>
</ds:datastoreItem>
</file>

<file path=customXml/itemProps5.xml><?xml version="1.0" encoding="utf-8"?>
<ds:datastoreItem xmlns:ds="http://schemas.openxmlformats.org/officeDocument/2006/customXml" ds:itemID="{B6DDB073-2FD2-448F-A1DF-69B510BF1C4D}">
  <ds:schemaRefs>
    <ds:schemaRef ds:uri="http://schemas.microsoft.com/sharepoint/events"/>
  </ds:schemaRefs>
</ds:datastoreItem>
</file>

<file path=customXml/itemProps6.xml><?xml version="1.0" encoding="utf-8"?>
<ds:datastoreItem xmlns:ds="http://schemas.openxmlformats.org/officeDocument/2006/customXml" ds:itemID="{44F99811-6A9B-4D0D-8355-245E758585E6}"/>
</file>

<file path=customXml/itemProps7.xml><?xml version="1.0" encoding="utf-8"?>
<ds:datastoreItem xmlns:ds="http://schemas.openxmlformats.org/officeDocument/2006/customXml" ds:itemID="{7DBAE1F9-548B-4D29-B45C-E1CAD7998BF0}"/>
</file>

<file path=docProps/app.xml><?xml version="1.0" encoding="utf-8"?>
<Properties xmlns="http://schemas.openxmlformats.org/officeDocument/2006/extended-properties" xmlns:vt="http://schemas.openxmlformats.org/officeDocument/2006/docPropsVTypes">
  <Template>Report - Supporting document</Template>
  <TotalTime>0</TotalTime>
  <Pages>15</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41460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Tailee Vecchi</cp:lastModifiedBy>
  <cp:revision>2</cp:revision>
  <cp:lastPrinted>2011-08-22T03:30:00Z</cp:lastPrinted>
  <dcterms:created xsi:type="dcterms:W3CDTF">2021-11-29T03:19:00Z</dcterms:created>
  <dcterms:modified xsi:type="dcterms:W3CDTF">2021-11-29T03:19:00Z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e068ee7e-41ce-4613-b751-cbcecb926dbe</vt:lpwstr>
  </property>
  <property fmtid="{D5CDD505-2E9C-101B-9397-08002B2CF9AE}" pid="8" name="RecordPoint_WorkflowType">
    <vt:lpwstr>ActiveSubmitStub</vt:lpwstr>
  </property>
  <property fmtid="{D5CDD505-2E9C-101B-9397-08002B2CF9AE}" pid="9" name="RecordPoint_ActiveItemUniqueId">
    <vt:lpwstr>{e068ee7e-41ce-4613-b751-cbcecb926dbe}</vt:lpwstr>
  </property>
  <property fmtid="{D5CDD505-2E9C-101B-9397-08002B2CF9AE}" pid="10" name="RecordPoint_ActiveItemWebId">
    <vt:lpwstr>{6424560a-5fb6-46a3-8600-72130a51e74d}</vt:lpwstr>
  </property>
  <property fmtid="{D5CDD505-2E9C-101B-9397-08002B2CF9AE}" pid="11" name="RecordPoint_ActiveItemSiteId">
    <vt:lpwstr>{dd95a578-5c6a-4f11-92f7-f95884d628d6}</vt:lpwstr>
  </property>
  <property fmtid="{D5CDD505-2E9C-101B-9397-08002B2CF9AE}" pid="12" name="RecordPoint_ActiveItemListId">
    <vt:lpwstr>{edcee62d-6efa-49fd-ac53-71302a541400}</vt:lpwstr>
  </property>
  <property fmtid="{D5CDD505-2E9C-101B-9397-08002B2CF9AE}" pid="13" name="RecordPoint_SubmissionCompleted">
    <vt:lpwstr>2021-09-27T13:00:08.7169859+10:00</vt:lpwstr>
  </property>
  <property fmtid="{D5CDD505-2E9C-101B-9397-08002B2CF9AE}" pid="1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ies>
</file>